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65" w:rsidRDefault="00CB0465"/>
    <w:p w:rsidR="00175827" w:rsidRPr="00E40579" w:rsidRDefault="00175827" w:rsidP="00175827">
      <w:pPr>
        <w:jc w:val="center"/>
        <w:rPr>
          <w:sz w:val="36"/>
          <w:szCs w:val="36"/>
        </w:rPr>
      </w:pPr>
      <w:r w:rsidRPr="00E40579">
        <w:rPr>
          <w:sz w:val="36"/>
          <w:szCs w:val="36"/>
        </w:rPr>
        <w:t>Bank Leverage and Credit Risk: What do fair values tell us?</w:t>
      </w:r>
    </w:p>
    <w:p w:rsidR="00175827" w:rsidRDefault="00175827" w:rsidP="00175827">
      <w:pPr>
        <w:jc w:val="center"/>
      </w:pPr>
    </w:p>
    <w:p w:rsidR="00175827" w:rsidRDefault="00175827" w:rsidP="00175827">
      <w:pPr>
        <w:jc w:val="center"/>
      </w:pPr>
    </w:p>
    <w:p w:rsidR="00175827" w:rsidRDefault="00175827" w:rsidP="00175827">
      <w:pPr>
        <w:jc w:val="center"/>
      </w:pPr>
    </w:p>
    <w:p w:rsidR="00175827" w:rsidRDefault="00175827" w:rsidP="00175827">
      <w:pPr>
        <w:jc w:val="center"/>
      </w:pPr>
    </w:p>
    <w:p w:rsidR="00905D2C" w:rsidRDefault="00905D2C" w:rsidP="00175827">
      <w:pPr>
        <w:jc w:val="center"/>
      </w:pPr>
    </w:p>
    <w:p w:rsidR="00905D2C" w:rsidRDefault="00905D2C" w:rsidP="00175827">
      <w:pPr>
        <w:jc w:val="center"/>
      </w:pPr>
    </w:p>
    <w:p w:rsidR="00905D2C" w:rsidRDefault="00905D2C" w:rsidP="00175827">
      <w:pPr>
        <w:jc w:val="center"/>
      </w:pPr>
    </w:p>
    <w:p w:rsidR="00905D2C" w:rsidRDefault="00905D2C" w:rsidP="00175827">
      <w:pPr>
        <w:jc w:val="center"/>
      </w:pPr>
    </w:p>
    <w:p w:rsidR="00905D2C" w:rsidRDefault="00905D2C" w:rsidP="00175827">
      <w:pPr>
        <w:jc w:val="center"/>
      </w:pPr>
    </w:p>
    <w:p w:rsidR="00D7442D" w:rsidRDefault="00D7442D" w:rsidP="00D7442D">
      <w:pPr>
        <w:jc w:val="center"/>
        <w:outlineLvl w:val="0"/>
      </w:pPr>
      <w:r>
        <w:t>Elizabeth Blankespoor</w:t>
      </w:r>
    </w:p>
    <w:p w:rsidR="0063216F" w:rsidRDefault="0063216F" w:rsidP="00D7442D">
      <w:pPr>
        <w:jc w:val="center"/>
        <w:outlineLvl w:val="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w:t>
      </w:r>
    </w:p>
    <w:p w:rsidR="0063216F" w:rsidRDefault="0063216F" w:rsidP="00D7442D">
      <w:pPr>
        <w:jc w:val="center"/>
      </w:pPr>
    </w:p>
    <w:p w:rsidR="00D7442D" w:rsidRDefault="00D7442D" w:rsidP="00D7442D">
      <w:pPr>
        <w:jc w:val="center"/>
      </w:pPr>
      <w:r>
        <w:t>Thomas J. Linsmeier</w:t>
      </w:r>
    </w:p>
    <w:p w:rsidR="0063216F" w:rsidRDefault="0063216F" w:rsidP="00D7442D">
      <w:pPr>
        <w:jc w:val="center"/>
      </w:pPr>
      <w:r>
        <w:t>FASB</w:t>
      </w:r>
    </w:p>
    <w:p w:rsidR="0063216F" w:rsidRDefault="0063216F" w:rsidP="00D7442D">
      <w:pPr>
        <w:jc w:val="center"/>
      </w:pPr>
    </w:p>
    <w:p w:rsidR="00D7442D" w:rsidRDefault="00D7442D" w:rsidP="00D7442D">
      <w:pPr>
        <w:jc w:val="center"/>
      </w:pPr>
      <w:r>
        <w:t>Kathy Petroni</w:t>
      </w:r>
    </w:p>
    <w:p w:rsidR="0063216F" w:rsidRDefault="0063216F" w:rsidP="00D7442D">
      <w:pPr>
        <w:jc w:val="center"/>
      </w:pP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63216F" w:rsidRDefault="0063216F" w:rsidP="00D7442D">
      <w:pPr>
        <w:jc w:val="center"/>
      </w:pPr>
    </w:p>
    <w:p w:rsidR="00D7442D" w:rsidRDefault="00D7442D" w:rsidP="00D7442D">
      <w:pPr>
        <w:jc w:val="center"/>
      </w:pPr>
      <w:r>
        <w:t>Catherine Shakespeare</w:t>
      </w:r>
    </w:p>
    <w:p w:rsidR="0063216F" w:rsidRDefault="0063216F" w:rsidP="00D7442D">
      <w:pPr>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p>
    <w:p w:rsidR="00175827" w:rsidRDefault="00175827" w:rsidP="00175827">
      <w:pPr>
        <w:jc w:val="center"/>
      </w:pPr>
    </w:p>
    <w:p w:rsidR="00175827" w:rsidRDefault="00175827" w:rsidP="00175827">
      <w:pPr>
        <w:jc w:val="center"/>
      </w:pPr>
    </w:p>
    <w:p w:rsidR="00175827" w:rsidRDefault="00175827" w:rsidP="00175827">
      <w:pPr>
        <w:jc w:val="center"/>
      </w:pPr>
    </w:p>
    <w:p w:rsidR="00905D2C" w:rsidRDefault="00905D2C" w:rsidP="00175827">
      <w:pPr>
        <w:jc w:val="center"/>
      </w:pPr>
    </w:p>
    <w:p w:rsidR="00905D2C" w:rsidRDefault="00905D2C" w:rsidP="00175827">
      <w:pPr>
        <w:jc w:val="center"/>
      </w:pPr>
    </w:p>
    <w:p w:rsidR="00905D2C" w:rsidRDefault="00905D2C" w:rsidP="00175827">
      <w:pPr>
        <w:jc w:val="center"/>
      </w:pPr>
    </w:p>
    <w:p w:rsidR="00905D2C" w:rsidRDefault="00905D2C" w:rsidP="00175827">
      <w:pPr>
        <w:jc w:val="center"/>
      </w:pPr>
    </w:p>
    <w:p w:rsidR="00905D2C" w:rsidRDefault="00905D2C" w:rsidP="00175827">
      <w:pPr>
        <w:jc w:val="center"/>
      </w:pPr>
    </w:p>
    <w:p w:rsidR="00BF2990" w:rsidRDefault="00BF2990" w:rsidP="00175827">
      <w:pPr>
        <w:jc w:val="center"/>
      </w:pPr>
    </w:p>
    <w:p w:rsidR="00BF2990" w:rsidRDefault="007C76B8" w:rsidP="00175827">
      <w:pPr>
        <w:jc w:val="center"/>
      </w:pPr>
      <w:r>
        <w:t>October 5</w:t>
      </w:r>
      <w:r w:rsidR="00BF2990">
        <w:t>, 2009</w:t>
      </w:r>
    </w:p>
    <w:p w:rsidR="00BF2990" w:rsidRDefault="00BF2990" w:rsidP="00175827">
      <w:pPr>
        <w:jc w:val="center"/>
      </w:pPr>
    </w:p>
    <w:p w:rsidR="00BF2990" w:rsidRDefault="00BF2990" w:rsidP="00175827">
      <w:pPr>
        <w:jc w:val="center"/>
      </w:pPr>
    </w:p>
    <w:p w:rsidR="00BF2990" w:rsidRDefault="00BF2990" w:rsidP="00175827">
      <w:pPr>
        <w:jc w:val="center"/>
      </w:pPr>
    </w:p>
    <w:p w:rsidR="00726161" w:rsidRDefault="00175827" w:rsidP="00175827">
      <w:pPr>
        <w:jc w:val="center"/>
      </w:pPr>
      <w:r>
        <w:t>Very preliminary</w:t>
      </w:r>
      <w:r w:rsidR="00B74E41">
        <w:t>, please do not quote without permission.</w:t>
      </w:r>
      <w:r w:rsidR="00D00524">
        <w:t xml:space="preserve">  </w:t>
      </w:r>
    </w:p>
    <w:p w:rsidR="00726161" w:rsidRDefault="00726161" w:rsidP="00175827">
      <w:pPr>
        <w:jc w:val="center"/>
      </w:pPr>
    </w:p>
    <w:p w:rsidR="00A6510E" w:rsidRDefault="00A6510E" w:rsidP="00726161">
      <w:pPr>
        <w:rPr>
          <w:bCs/>
        </w:rPr>
      </w:pPr>
    </w:p>
    <w:p w:rsidR="0016044C" w:rsidRDefault="0016044C" w:rsidP="00726161">
      <w:pPr>
        <w:rPr>
          <w:bCs/>
        </w:rPr>
      </w:pPr>
    </w:p>
    <w:p w:rsidR="00A6510E" w:rsidRDefault="00A6510E" w:rsidP="00726161">
      <w:pPr>
        <w:rPr>
          <w:bCs/>
        </w:rPr>
      </w:pPr>
    </w:p>
    <w:p w:rsidR="007C1427" w:rsidRDefault="00726161" w:rsidP="00726161">
      <w:r w:rsidRPr="00A6510E">
        <w:rPr>
          <w:bCs/>
        </w:rPr>
        <w:t>The views expressed in this presentation are those of the authors and do not represent positions of the Financial Accounting Standards Board.  Positions of the Financial Accounting Standards Board are arrived at only after extensive due process and deliberation.</w:t>
      </w:r>
      <w:r>
        <w:t xml:space="preserve"> </w:t>
      </w:r>
      <w:r w:rsidR="0063216F">
        <w:t>We gratefully acknowledge that the primary data used for this research was provided by SNL Financial LC.</w:t>
      </w:r>
    </w:p>
    <w:p w:rsidR="00726161" w:rsidRDefault="00726161" w:rsidP="00726161"/>
    <w:p w:rsidR="002F1158" w:rsidRDefault="00726161" w:rsidP="00317B7B">
      <w:pPr>
        <w:jc w:val="center"/>
        <w:rPr>
          <w:b/>
        </w:rPr>
      </w:pPr>
      <w:r>
        <w:br w:type="page"/>
      </w:r>
      <w:r w:rsidR="002F1158" w:rsidRPr="004444C2">
        <w:rPr>
          <w:b/>
        </w:rPr>
        <w:lastRenderedPageBreak/>
        <w:t>I</w:t>
      </w:r>
      <w:r w:rsidR="002F1158">
        <w:rPr>
          <w:b/>
        </w:rPr>
        <w:t>NTRODUCTION</w:t>
      </w:r>
    </w:p>
    <w:p w:rsidR="009F1A2E" w:rsidRPr="004444C2" w:rsidRDefault="009F1A2E" w:rsidP="009F1A2E">
      <w:pPr>
        <w:ind w:left="180"/>
        <w:jc w:val="center"/>
        <w:rPr>
          <w:b/>
        </w:rPr>
      </w:pPr>
    </w:p>
    <w:p w:rsidR="0063216F" w:rsidRDefault="0097253D" w:rsidP="000F6959">
      <w:pPr>
        <w:spacing w:line="480" w:lineRule="auto"/>
        <w:ind w:firstLine="720"/>
      </w:pPr>
      <w:r>
        <w:t xml:space="preserve">The FASB and IASB are actively working on </w:t>
      </w:r>
      <w:r w:rsidR="000F6959">
        <w:t>projects to improve and simplify the accounti</w:t>
      </w:r>
      <w:r w:rsidR="00905D2C">
        <w:t xml:space="preserve">ng for financial instruments.  </w:t>
      </w:r>
      <w:r w:rsidR="00795B8B">
        <w:t xml:space="preserve">The FASB expects to issue an Exposure Draft by the end of this year or early 2010 that </w:t>
      </w:r>
      <w:r w:rsidR="0063216F">
        <w:t xml:space="preserve">would replace its standards on accounting for financial instruments with a new standard that </w:t>
      </w:r>
      <w:r w:rsidR="004A1CE2">
        <w:t xml:space="preserve">would </w:t>
      </w:r>
      <w:r w:rsidR="0063216F">
        <w:t>also</w:t>
      </w:r>
      <w:r w:rsidR="004A1CE2">
        <w:t xml:space="preserve"> be</w:t>
      </w:r>
      <w:r w:rsidR="0063216F">
        <w:t xml:space="preserve"> common to the IASB</w:t>
      </w:r>
      <w:r w:rsidR="00795B8B">
        <w:t xml:space="preserve">. </w:t>
      </w:r>
      <w:r w:rsidR="00430B7D">
        <w:t>Th</w:t>
      </w:r>
      <w:r w:rsidR="00795B8B">
        <w:t xml:space="preserve">e FASB has </w:t>
      </w:r>
      <w:r w:rsidR="00430B7D">
        <w:t xml:space="preserve">tentatively decided </w:t>
      </w:r>
      <w:r w:rsidR="004A1CE2">
        <w:t xml:space="preserve">that the Exposure Draft will call for </w:t>
      </w:r>
      <w:r w:rsidR="000F6959">
        <w:t>recognizing all financial instruments at fair value</w:t>
      </w:r>
      <w:r w:rsidR="00795B8B">
        <w:t xml:space="preserve">, with </w:t>
      </w:r>
      <w:r w:rsidR="0063216F">
        <w:t>a limited</w:t>
      </w:r>
      <w:r w:rsidR="00795B8B">
        <w:t xml:space="preserve"> exception </w:t>
      </w:r>
      <w:r w:rsidR="0063216F">
        <w:t>for some companies’</w:t>
      </w:r>
      <w:r w:rsidR="00795B8B">
        <w:t xml:space="preserve"> own debt</w:t>
      </w:r>
      <w:r w:rsidR="004A1CE2">
        <w:t xml:space="preserve"> (FASB 2009)</w:t>
      </w:r>
      <w:r w:rsidR="000F6959">
        <w:t xml:space="preserve">.  </w:t>
      </w:r>
    </w:p>
    <w:p w:rsidR="00795B8B" w:rsidRDefault="00795B8B" w:rsidP="000F6959">
      <w:pPr>
        <w:spacing w:line="480" w:lineRule="auto"/>
        <w:ind w:firstLine="720"/>
      </w:pPr>
      <w:r w:rsidRPr="00BE1AC4">
        <w:t>This decision</w:t>
      </w:r>
      <w:r w:rsidR="00494821" w:rsidRPr="00BE1AC4">
        <w:t xml:space="preserve"> to move towards recognizing more financial instruments at fair value is highly controversial, especially within the banking industry.  </w:t>
      </w:r>
      <w:r w:rsidR="00906B16" w:rsidRPr="00BE1AC4">
        <w:t>There are many within the banking industry, most notably the American Bank</w:t>
      </w:r>
      <w:r w:rsidR="00181595" w:rsidRPr="00BE1AC4">
        <w:t>ers</w:t>
      </w:r>
      <w:r w:rsidR="00906B16" w:rsidRPr="00BE1AC4">
        <w:t xml:space="preserve"> Association</w:t>
      </w:r>
      <w:r w:rsidR="00430B7D" w:rsidRPr="00BE1AC4">
        <w:t xml:space="preserve"> (ABA)</w:t>
      </w:r>
      <w:r w:rsidR="00906B16" w:rsidRPr="00BE1AC4">
        <w:t xml:space="preserve">, that </w:t>
      </w:r>
      <w:r w:rsidR="00922053" w:rsidRPr="00BE1AC4">
        <w:t xml:space="preserve">oppose fair value accounting for financial instruments.  The ABA </w:t>
      </w:r>
      <w:r w:rsidR="00051425" w:rsidRPr="00BE1AC4">
        <w:t>arguments include 1)</w:t>
      </w:r>
      <w:r w:rsidR="00906B16" w:rsidRPr="00BE1AC4">
        <w:t xml:space="preserve"> fair value accounting</w:t>
      </w:r>
      <w:r w:rsidR="00444217" w:rsidRPr="00BE1AC4">
        <w:t xml:space="preserve"> </w:t>
      </w:r>
      <w:r w:rsidR="00922053" w:rsidRPr="00BE1AC4">
        <w:t xml:space="preserve">is not relevant given banks’ business model, </w:t>
      </w:r>
      <w:r w:rsidR="00051425" w:rsidRPr="00BE1AC4">
        <w:t>2) fair values are unreliable for deposit and loan accounts, and 3) fair value accounting is very costly and complex (ABA 2006).  Most recently the ABA</w:t>
      </w:r>
      <w:r w:rsidR="00512B8F" w:rsidRPr="00BE1AC4">
        <w:t xml:space="preserve"> (2009)</w:t>
      </w:r>
      <w:r w:rsidR="00051425" w:rsidRPr="00BE1AC4">
        <w:t xml:space="preserve"> </w:t>
      </w:r>
      <w:r w:rsidR="00BE1AC4" w:rsidRPr="00BE1AC4">
        <w:t xml:space="preserve">also </w:t>
      </w:r>
      <w:r w:rsidR="00051425" w:rsidRPr="00BE1AC4">
        <w:t xml:space="preserve">has argued that fair values </w:t>
      </w:r>
      <w:r w:rsidR="000A1ED3" w:rsidRPr="00BE1AC4">
        <w:t>contribute to the pro-cyclicality of the financial system</w:t>
      </w:r>
      <w:r w:rsidR="00051425" w:rsidRPr="00BE1AC4">
        <w:t xml:space="preserve"> and</w:t>
      </w:r>
      <w:r w:rsidR="000A1ED3" w:rsidRPr="00BE1AC4">
        <w:t xml:space="preserve"> </w:t>
      </w:r>
      <w:r w:rsidR="00430B7D" w:rsidRPr="00BE1AC4">
        <w:t>is</w:t>
      </w:r>
      <w:r w:rsidR="000A1ED3" w:rsidRPr="00BE1AC4">
        <w:t>, therefore,</w:t>
      </w:r>
      <w:r w:rsidR="00430B7D" w:rsidRPr="00BE1AC4">
        <w:t xml:space="preserve"> one of the root causes of the recent financial crisis and a move towards more fair value accounting </w:t>
      </w:r>
      <w:r w:rsidR="005132BA" w:rsidRPr="00BE1AC4">
        <w:t>w</w:t>
      </w:r>
      <w:r w:rsidR="00512B8F" w:rsidRPr="00BE1AC4">
        <w:t>ould be harmful to the economy</w:t>
      </w:r>
      <w:r w:rsidR="005132BA" w:rsidRPr="00BE1AC4">
        <w:t>.</w:t>
      </w:r>
      <w:r w:rsidR="00430B7D" w:rsidRPr="00BE1AC4">
        <w:t xml:space="preserve">  </w:t>
      </w:r>
      <w:r w:rsidR="003B3DBB" w:rsidRPr="00BE1AC4">
        <w:t>On the other han</w:t>
      </w:r>
      <w:r w:rsidR="00BF26AE" w:rsidRPr="00BE1AC4">
        <w:t xml:space="preserve">d, there are others that argue in favor of more fair value accounting.  </w:t>
      </w:r>
      <w:r w:rsidR="00512B8F" w:rsidRPr="00BE1AC4">
        <w:t xml:space="preserve">The </w:t>
      </w:r>
      <w:r w:rsidR="00512B8F" w:rsidRPr="00BE1AC4">
        <w:rPr>
          <w:color w:val="333333"/>
        </w:rPr>
        <w:t>CFA Institute Centre for Financial Market Integrity</w:t>
      </w:r>
      <w:r w:rsidR="00BE1AC4" w:rsidRPr="00BE1AC4">
        <w:rPr>
          <w:color w:val="333333"/>
        </w:rPr>
        <w:t xml:space="preserve"> (CFA Institute)</w:t>
      </w:r>
      <w:r w:rsidR="00512B8F" w:rsidRPr="00BE1AC4">
        <w:rPr>
          <w:color w:val="333333"/>
        </w:rPr>
        <w:t xml:space="preserve">, the Center for Audit Quality, the Consumer Federation of America, and the Council of Institutional Investors (2008) all jointly support fair value accounting because they believe it provides more accurate, timely, and comparable information to investors than amortized costs.  </w:t>
      </w:r>
      <w:r w:rsidR="00BE1AC4" w:rsidRPr="00BE1AC4">
        <w:rPr>
          <w:color w:val="333333"/>
        </w:rPr>
        <w:t xml:space="preserve">A </w:t>
      </w:r>
      <w:r w:rsidR="00BE1AC4" w:rsidRPr="007A62EE">
        <w:t>survey of CFA Institute membe</w:t>
      </w:r>
      <w:r w:rsidR="00BE1AC4">
        <w:t xml:space="preserve">rs’ worldwide (2,006 responses) also indicates </w:t>
      </w:r>
      <w:r w:rsidR="00BE1AC4" w:rsidRPr="007A62EE">
        <w:t xml:space="preserve">79 </w:t>
      </w:r>
      <w:r w:rsidR="00BE1AC4" w:rsidRPr="007A62EE">
        <w:lastRenderedPageBreak/>
        <w:t>percent of respondents believe that fair value requirements improve transparency and contribute to investor understanding of financial institutions</w:t>
      </w:r>
      <w:r w:rsidR="00BE1AC4">
        <w:t>’</w:t>
      </w:r>
      <w:r w:rsidR="00BE1AC4" w:rsidRPr="007A62EE">
        <w:t xml:space="preserve"> risk and 74 percent think </w:t>
      </w:r>
      <w:r w:rsidR="00BE1AC4">
        <w:t xml:space="preserve">full </w:t>
      </w:r>
      <w:r w:rsidR="00BE1AC4" w:rsidRPr="007A62EE">
        <w:t xml:space="preserve">fair value </w:t>
      </w:r>
      <w:r w:rsidR="00BE1AC4">
        <w:t>accounting</w:t>
      </w:r>
      <w:r w:rsidR="00BE1AC4" w:rsidRPr="007A62EE">
        <w:t xml:space="preserve"> will improve market integrity</w:t>
      </w:r>
      <w:r w:rsidR="00BE1AC4">
        <w:t xml:space="preserve"> (CFA 2008)</w:t>
      </w:r>
      <w:r w:rsidR="00BE1AC4" w:rsidRPr="007A62EE">
        <w:t>.</w:t>
      </w:r>
      <w:r w:rsidR="00BE1AC4">
        <w:t xml:space="preserve">  </w:t>
      </w:r>
      <w:r w:rsidR="00512B8F" w:rsidRPr="00BE1AC4">
        <w:t>Presumably if fair values can</w:t>
      </w:r>
      <w:r w:rsidR="003B3DBB" w:rsidRPr="00BE1AC4">
        <w:t xml:space="preserve"> </w:t>
      </w:r>
      <w:r w:rsidR="00512B8F" w:rsidRPr="00BE1AC4">
        <w:t>pr</w:t>
      </w:r>
      <w:r w:rsidR="007F45E7" w:rsidRPr="00BE1AC4">
        <w:t xml:space="preserve">ovide more timely information then fair value accounting may </w:t>
      </w:r>
      <w:r w:rsidR="003B3DBB" w:rsidRPr="00BE1AC4">
        <w:t xml:space="preserve">mitigate </w:t>
      </w:r>
      <w:r w:rsidR="00BF26AE" w:rsidRPr="00BE1AC4">
        <w:t xml:space="preserve">rather than </w:t>
      </w:r>
      <w:r w:rsidR="004F3C2E" w:rsidRPr="00BE1AC4">
        <w:t>exacerbate</w:t>
      </w:r>
      <w:r w:rsidR="00BF26AE" w:rsidRPr="00BE1AC4">
        <w:t xml:space="preserve"> </w:t>
      </w:r>
      <w:r w:rsidR="00051425" w:rsidRPr="00BE1AC4">
        <w:t>financial</w:t>
      </w:r>
      <w:r w:rsidR="00433CD3" w:rsidRPr="00BE1AC4">
        <w:t xml:space="preserve"> </w:t>
      </w:r>
      <w:r w:rsidR="003B3DBB" w:rsidRPr="00BE1AC4">
        <w:t>cris</w:t>
      </w:r>
      <w:r w:rsidR="00433CD3" w:rsidRPr="00BE1AC4">
        <w:t>e</w:t>
      </w:r>
      <w:r w:rsidR="003B3DBB" w:rsidRPr="00BE1AC4">
        <w:t>s</w:t>
      </w:r>
      <w:r w:rsidR="000A1ED3" w:rsidRPr="00BE1AC4">
        <w:t xml:space="preserve"> (Financial Crisis Advisory Group, 2009)</w:t>
      </w:r>
      <w:r w:rsidR="003B3DBB" w:rsidRPr="00BE1AC4">
        <w:t>.</w:t>
      </w:r>
    </w:p>
    <w:p w:rsidR="000A1ED3" w:rsidRDefault="000A1ED3" w:rsidP="000F6959">
      <w:pPr>
        <w:spacing w:line="480" w:lineRule="auto"/>
        <w:ind w:firstLine="720"/>
      </w:pPr>
      <w:r>
        <w:t xml:space="preserve">We currently understand little about how fair value accounting information provides early warning signals of financial distress.  </w:t>
      </w:r>
      <w:r w:rsidR="00AF1BFB">
        <w:t>Accordingly, in t</w:t>
      </w:r>
      <w:r>
        <w:t xml:space="preserve">his study </w:t>
      </w:r>
      <w:r w:rsidR="00AF1BFB">
        <w:t>we examine</w:t>
      </w:r>
      <w:r>
        <w:t xml:space="preserve"> the extent to which fair value accounting </w:t>
      </w:r>
      <w:r w:rsidR="007D7F9E">
        <w:t xml:space="preserve">information </w:t>
      </w:r>
      <w:r w:rsidR="005705AB">
        <w:t>relative</w:t>
      </w:r>
      <w:r w:rsidR="007D7F9E">
        <w:t xml:space="preserve"> to information provided under other accounting models </w:t>
      </w:r>
      <w:r w:rsidR="00433CD3">
        <w:t xml:space="preserve">helps </w:t>
      </w:r>
      <w:r w:rsidR="00D00524">
        <w:t>users</w:t>
      </w:r>
      <w:r w:rsidR="00433CD3">
        <w:t xml:space="preserve"> assess </w:t>
      </w:r>
      <w:r>
        <w:t>credit risk</w:t>
      </w:r>
      <w:r w:rsidR="0040225F">
        <w:t xml:space="preserve"> (i.e., counterparty </w:t>
      </w:r>
      <w:r w:rsidR="00726161">
        <w:t xml:space="preserve">payment </w:t>
      </w:r>
      <w:r w:rsidR="0040225F">
        <w:t>risk)</w:t>
      </w:r>
      <w:r>
        <w:t xml:space="preserve"> </w:t>
      </w:r>
      <w:r w:rsidR="00DD0DD1">
        <w:t>within</w:t>
      </w:r>
      <w:r>
        <w:t xml:space="preserve"> </w:t>
      </w:r>
      <w:r w:rsidR="00AF1BFB">
        <w:t>the</w:t>
      </w:r>
      <w:r>
        <w:t xml:space="preserve"> bank</w:t>
      </w:r>
      <w:r w:rsidR="00AF1BFB">
        <w:t>ing industry</w:t>
      </w:r>
      <w:r>
        <w:t xml:space="preserve">.  </w:t>
      </w:r>
      <w:r w:rsidR="007D7F9E">
        <w:t xml:space="preserve">Specifically, we focus on how balance sheet leverage measured under various accounting </w:t>
      </w:r>
      <w:r w:rsidR="00F37078">
        <w:t>measurements for financial instruments</w:t>
      </w:r>
      <w:r w:rsidR="00DD0DD1">
        <w:t xml:space="preserve"> </w:t>
      </w:r>
      <w:r w:rsidR="004A1CE2">
        <w:t xml:space="preserve">including </w:t>
      </w:r>
      <w:r w:rsidR="00F37078">
        <w:t>fair value, current GAAP, and Tier 1</w:t>
      </w:r>
      <w:r w:rsidR="00D00524">
        <w:t xml:space="preserve"> capital</w:t>
      </w:r>
      <w:r w:rsidR="00DD0DD1">
        <w:t xml:space="preserve"> correlate with </w:t>
      </w:r>
      <w:r w:rsidR="004C3AC4">
        <w:t>TED spread</w:t>
      </w:r>
      <w:r w:rsidR="00433CD3">
        <w:t xml:space="preserve">, which is a </w:t>
      </w:r>
      <w:r w:rsidR="004C3AC4">
        <w:t>commonly used</w:t>
      </w:r>
      <w:r w:rsidR="00DD0DD1">
        <w:t xml:space="preserve"> measure of </w:t>
      </w:r>
      <w:r w:rsidR="00433CD3">
        <w:t xml:space="preserve">the </w:t>
      </w:r>
      <w:r w:rsidR="00DD0DD1">
        <w:t xml:space="preserve">credit risk </w:t>
      </w:r>
      <w:r w:rsidR="00433CD3">
        <w:t>within</w:t>
      </w:r>
      <w:r w:rsidR="00DD0DD1">
        <w:t xml:space="preserve"> </w:t>
      </w:r>
      <w:r w:rsidR="00433CD3">
        <w:t xml:space="preserve">the </w:t>
      </w:r>
      <w:r w:rsidR="00DD0DD1">
        <w:t>commercial bank</w:t>
      </w:r>
      <w:r w:rsidR="00433CD3">
        <w:t>ing industry</w:t>
      </w:r>
      <w:r w:rsidR="00DD0DD1">
        <w:t>.</w:t>
      </w:r>
      <w:r w:rsidR="007F7D2F">
        <w:t xml:space="preserve">  </w:t>
      </w:r>
      <w:r w:rsidR="00090B09">
        <w:t xml:space="preserve">We focus on balance sheet leverage and credit risk because it is widely believed that excessive leverage of banks and </w:t>
      </w:r>
      <w:r w:rsidR="007F7D2F">
        <w:t>an underestimation of credit risk</w:t>
      </w:r>
      <w:r w:rsidR="00090B09">
        <w:t xml:space="preserve"> cont</w:t>
      </w:r>
      <w:r w:rsidR="00257094">
        <w:t xml:space="preserve">ributed to the </w:t>
      </w:r>
      <w:r w:rsidR="004D758B">
        <w:t xml:space="preserve">recent </w:t>
      </w:r>
      <w:r w:rsidR="00257094">
        <w:t>financial crisis</w:t>
      </w:r>
      <w:r w:rsidR="00BF16BF">
        <w:t xml:space="preserve"> (GAO 2009)</w:t>
      </w:r>
      <w:r w:rsidR="007F7D2F">
        <w:t>.</w:t>
      </w:r>
    </w:p>
    <w:p w:rsidR="00DD0DD1" w:rsidRDefault="00DD0DD1" w:rsidP="000F6959">
      <w:pPr>
        <w:spacing w:line="480" w:lineRule="auto"/>
        <w:ind w:firstLine="720"/>
      </w:pPr>
      <w:r>
        <w:t xml:space="preserve">Our tests on </w:t>
      </w:r>
      <w:r w:rsidR="00A03F6B">
        <w:t xml:space="preserve">a sample of </w:t>
      </w:r>
      <w:r w:rsidR="00905D2C">
        <w:t>1,0</w:t>
      </w:r>
      <w:r w:rsidR="00867CBA">
        <w:t>46</w:t>
      </w:r>
      <w:r w:rsidR="00905D2C">
        <w:t xml:space="preserve"> </w:t>
      </w:r>
      <w:r w:rsidR="00E118FB">
        <w:t xml:space="preserve">publicly traded </w:t>
      </w:r>
      <w:r w:rsidR="00905D2C">
        <w:t>bank holding companies</w:t>
      </w:r>
      <w:r w:rsidR="00A03F6B">
        <w:t xml:space="preserve"> with </w:t>
      </w:r>
      <w:r w:rsidR="00905D2C">
        <w:t>8,</w:t>
      </w:r>
      <w:r w:rsidR="00867CBA">
        <w:t>759</w:t>
      </w:r>
      <w:r w:rsidR="00A03F6B">
        <w:t xml:space="preserve"> bank-year observations between </w:t>
      </w:r>
      <w:r w:rsidR="00905D2C">
        <w:t>1992</w:t>
      </w:r>
      <w:r w:rsidR="00A03F6B">
        <w:t xml:space="preserve"> and </w:t>
      </w:r>
      <w:r w:rsidR="00905D2C">
        <w:t>2008</w:t>
      </w:r>
      <w:r w:rsidR="00A03F6B">
        <w:t xml:space="preserve"> demonstrate that leverage measured using fair values of all </w:t>
      </w:r>
      <w:r w:rsidR="00907B2E">
        <w:t>financial instruments (both assets and liabilities)</w:t>
      </w:r>
      <w:r w:rsidR="00A03F6B">
        <w:t xml:space="preserve"> </w:t>
      </w:r>
      <w:r w:rsidR="00726161">
        <w:t xml:space="preserve">is six times </w:t>
      </w:r>
      <w:r w:rsidR="00A03F6B">
        <w:t xml:space="preserve">more strongly </w:t>
      </w:r>
      <w:r w:rsidR="00726161">
        <w:t xml:space="preserve">correlated </w:t>
      </w:r>
      <w:r w:rsidR="00A03F6B">
        <w:t xml:space="preserve">with TED spread than </w:t>
      </w:r>
      <w:r w:rsidR="009E41BF">
        <w:t>the</w:t>
      </w:r>
      <w:r w:rsidR="00D00524">
        <w:t xml:space="preserve"> reported GAAP measure</w:t>
      </w:r>
      <w:r w:rsidR="009E41BF">
        <w:t>. In addition, we find the</w:t>
      </w:r>
      <w:r w:rsidR="00D00524">
        <w:t xml:space="preserve"> Tier 1 capital </w:t>
      </w:r>
      <w:r w:rsidR="009E41BF">
        <w:t xml:space="preserve">leverage </w:t>
      </w:r>
      <w:r w:rsidR="00D00524">
        <w:t>measure</w:t>
      </w:r>
      <w:r w:rsidR="009E41BF">
        <w:t xml:space="preserve"> is uncorrelated with TED spreads</w:t>
      </w:r>
      <w:r w:rsidR="00A03F6B">
        <w:t xml:space="preserve">.  </w:t>
      </w:r>
      <w:r w:rsidR="0040225F">
        <w:t>We further</w:t>
      </w:r>
      <w:r w:rsidR="00D00524">
        <w:t xml:space="preserve"> demonstrate that the fair values of loans, securities, and liabilities all play a critical role</w:t>
      </w:r>
      <w:r w:rsidR="0040225F">
        <w:t xml:space="preserve"> in improving the informativeness of the leverage ratio</w:t>
      </w:r>
      <w:r w:rsidR="00D00524">
        <w:t xml:space="preserve">. </w:t>
      </w:r>
      <w:r w:rsidR="00A03F6B">
        <w:t xml:space="preserve"> </w:t>
      </w:r>
      <w:r w:rsidR="00633CAD">
        <w:t xml:space="preserve">In addition, we find that also including the fair value </w:t>
      </w:r>
      <w:r w:rsidR="00633CAD">
        <w:lastRenderedPageBreak/>
        <w:t xml:space="preserve">of </w:t>
      </w:r>
      <w:r w:rsidR="00D953BD">
        <w:t>the core deposit intangible</w:t>
      </w:r>
      <w:r w:rsidR="005705AB">
        <w:t xml:space="preserve"> in the</w:t>
      </w:r>
      <w:r w:rsidR="00633CAD">
        <w:t xml:space="preserve"> leverage measure</w:t>
      </w:r>
      <w:r w:rsidR="005705AB">
        <w:t xml:space="preserve"> that is</w:t>
      </w:r>
      <w:r w:rsidR="00633CAD">
        <w:t xml:space="preserve"> </w:t>
      </w:r>
      <w:r w:rsidR="005705AB">
        <w:t xml:space="preserve">based on the fair values of all financial instruments </w:t>
      </w:r>
      <w:r w:rsidR="00F37078">
        <w:t>has no impact on</w:t>
      </w:r>
      <w:r w:rsidR="00633CAD">
        <w:t xml:space="preserve"> the association between fair value leverage and TED spread.</w:t>
      </w:r>
    </w:p>
    <w:p w:rsidR="000A1ED3" w:rsidRDefault="00433CD3" w:rsidP="000F6959">
      <w:pPr>
        <w:spacing w:line="480" w:lineRule="auto"/>
        <w:ind w:firstLine="720"/>
      </w:pPr>
      <w:r>
        <w:t>This paper pro</w:t>
      </w:r>
      <w:r w:rsidR="008524B1">
        <w:t xml:space="preserve">ceeds </w:t>
      </w:r>
      <w:r>
        <w:t>as follows.</w:t>
      </w:r>
      <w:r w:rsidR="008524B1">
        <w:t xml:space="preserve"> </w:t>
      </w:r>
      <w:r w:rsidR="002F1158">
        <w:t>The second section</w:t>
      </w:r>
      <w:r w:rsidR="008524B1">
        <w:t xml:space="preserve"> develops our hypothesis that leverage measured under </w:t>
      </w:r>
      <w:r w:rsidR="00F37078">
        <w:t xml:space="preserve">full </w:t>
      </w:r>
      <w:r w:rsidR="008524B1">
        <w:t xml:space="preserve">fair vales should be more strongly associated with </w:t>
      </w:r>
      <w:r w:rsidR="00F25E82">
        <w:t>credit risk</w:t>
      </w:r>
      <w:r w:rsidR="008524B1">
        <w:t xml:space="preserve"> than other measures of leverage. </w:t>
      </w:r>
      <w:r w:rsidR="002F1158">
        <w:t>The third section</w:t>
      </w:r>
      <w:r w:rsidR="008524B1">
        <w:t xml:space="preserve"> describes </w:t>
      </w:r>
      <w:r w:rsidR="00E118FB">
        <w:t>our measure of credit risk</w:t>
      </w:r>
      <w:r w:rsidR="008524B1">
        <w:t xml:space="preserve"> and our various measures of leverage. </w:t>
      </w:r>
      <w:r w:rsidR="002F1158">
        <w:t>The fourth section</w:t>
      </w:r>
      <w:r w:rsidR="008524B1">
        <w:t xml:space="preserve"> presents our tests on the association between our leverage measures and the TED spread</w:t>
      </w:r>
      <w:r w:rsidR="002F1158">
        <w:t xml:space="preserve"> while the last section</w:t>
      </w:r>
      <w:r w:rsidR="008524B1">
        <w:t xml:space="preserve"> concludes.</w:t>
      </w:r>
    </w:p>
    <w:p w:rsidR="002F1158" w:rsidRDefault="002F1158" w:rsidP="000F6959">
      <w:pPr>
        <w:spacing w:line="480" w:lineRule="auto"/>
        <w:ind w:firstLine="720"/>
      </w:pPr>
    </w:p>
    <w:p w:rsidR="002F1158" w:rsidRPr="004444C2" w:rsidRDefault="005705AB" w:rsidP="00A12EE9">
      <w:pPr>
        <w:pStyle w:val="BodyTextIndent"/>
        <w:numPr>
          <w:ilvl w:val="0"/>
          <w:numId w:val="2"/>
        </w:numPr>
        <w:jc w:val="center"/>
        <w:rPr>
          <w:b/>
          <w:bCs/>
        </w:rPr>
      </w:pPr>
      <w:r>
        <w:rPr>
          <w:b/>
        </w:rPr>
        <w:t xml:space="preserve">HYPOTHESIS </w:t>
      </w:r>
      <w:r w:rsidR="002F1158">
        <w:rPr>
          <w:b/>
        </w:rPr>
        <w:t>DEVELOPMENT</w:t>
      </w:r>
    </w:p>
    <w:p w:rsidR="00D7442D" w:rsidRDefault="00C24489" w:rsidP="00D7442D">
      <w:pPr>
        <w:spacing w:line="480" w:lineRule="auto"/>
        <w:ind w:firstLine="720"/>
      </w:pPr>
      <w:r>
        <w:t>As discussed by Landsman (2007) the p</w:t>
      </w:r>
      <w:r w:rsidR="00A12EE9">
        <w:t xml:space="preserve">rior literature fairly robustly suggests that </w:t>
      </w:r>
      <w:r>
        <w:t xml:space="preserve">the </w:t>
      </w:r>
      <w:r w:rsidR="00A12EE9">
        <w:t>fair values</w:t>
      </w:r>
      <w:r w:rsidR="00BB1A58">
        <w:t xml:space="preserve"> of</w:t>
      </w:r>
      <w:r>
        <w:t xml:space="preserve"> banks</w:t>
      </w:r>
      <w:r w:rsidR="006E31EA">
        <w:t>’</w:t>
      </w:r>
      <w:r>
        <w:t xml:space="preserve"> investment securities, loans, and derivatives are incrementally informative to their cost counterparts in explaining share prices. </w:t>
      </w:r>
      <w:r w:rsidR="00DE0526">
        <w:t>This suggests that investors find fair values useful in pricing bank</w:t>
      </w:r>
      <w:r w:rsidR="002D2EE4">
        <w:t xml:space="preserve"> equity</w:t>
      </w:r>
      <w:r w:rsidR="00DE0526">
        <w:t xml:space="preserve">.  </w:t>
      </w:r>
      <w:r w:rsidR="003B483D">
        <w:t xml:space="preserve">Our focus, however, is not on equity pricing but rather on the extent to which fair values inform on credit risk.  </w:t>
      </w:r>
      <w:r w:rsidR="00D7442D">
        <w:t xml:space="preserve">The management of credit risk is at the center of a bank operating model. The recent financial crisis highlights the consequences to the banking sector of an unexpected shock to credit </w:t>
      </w:r>
      <w:r w:rsidR="00C064D4">
        <w:t>markets</w:t>
      </w:r>
      <w:r w:rsidR="00D7442D">
        <w:t>.</w:t>
      </w:r>
    </w:p>
    <w:p w:rsidR="00B74E41" w:rsidRDefault="002D2EE4" w:rsidP="00C24489">
      <w:pPr>
        <w:spacing w:line="480" w:lineRule="auto"/>
        <w:ind w:firstLine="720"/>
      </w:pPr>
      <w:r>
        <w:t xml:space="preserve">The only study to date that has considered the link between fair values of bank financial instruments and risk is </w:t>
      </w:r>
      <w:r w:rsidR="00F17C68">
        <w:t>Hodder et al. (2006).</w:t>
      </w:r>
      <w:r w:rsidR="00F17C68">
        <w:rPr>
          <w:rStyle w:val="FootnoteReference"/>
        </w:rPr>
        <w:footnoteReference w:id="1"/>
      </w:r>
      <w:r w:rsidR="00F17C68">
        <w:t xml:space="preserve">  </w:t>
      </w:r>
      <w:r w:rsidR="00EF0618">
        <w:t xml:space="preserve">The focus in their study is </w:t>
      </w:r>
      <w:r w:rsidR="00CF4F23">
        <w:t>how different measures of income volatility are associated with various measures of market-based risk</w:t>
      </w:r>
      <w:r w:rsidR="00F37078">
        <w:t>, especially those tied to interest rate risk</w:t>
      </w:r>
      <w:r w:rsidR="00CF4F23">
        <w:t xml:space="preserve">.  </w:t>
      </w:r>
      <w:r w:rsidR="00EF0618">
        <w:t xml:space="preserve">Specifically, they assess the extent to </w:t>
      </w:r>
      <w:r w:rsidR="00EF0618">
        <w:lastRenderedPageBreak/>
        <w:t>which the volatility in reported</w:t>
      </w:r>
      <w:r w:rsidR="005142A7">
        <w:t xml:space="preserve"> net</w:t>
      </w:r>
      <w:r w:rsidR="00EF0618">
        <w:t xml:space="preserve"> income, comprehensive income, and a full fair value income are associated with four stock-market-based risk factors (i.e., market-model beta, short term and long-term interest-rate betas, and stock-return volatility) and two disclosed measures of banks’ exposure to market-base</w:t>
      </w:r>
      <w:r w:rsidR="005142A7">
        <w:t>d</w:t>
      </w:r>
      <w:r w:rsidR="00EF0618">
        <w:t xml:space="preserve"> risk (i.e., total exposure to derivatives and the gap between fixed-rate interest bearing assets and fixed-rate interest-bearing liabilities that reprice within one year).</w:t>
      </w:r>
      <w:r w:rsidR="005142A7">
        <w:t xml:space="preserve">  </w:t>
      </w:r>
      <w:r w:rsidR="00872369">
        <w:t>Their f</w:t>
      </w:r>
      <w:r w:rsidR="005142A7">
        <w:t xml:space="preserve">indings indicate that the volatility of reported net income appears to be the </w:t>
      </w:r>
      <w:r w:rsidR="00872369">
        <w:t xml:space="preserve">performance measure </w:t>
      </w:r>
      <w:r w:rsidR="005142A7">
        <w:t>most robustly and consistently associated with the</w:t>
      </w:r>
      <w:r w:rsidR="00872369">
        <w:t>ir</w:t>
      </w:r>
      <w:r w:rsidR="005142A7">
        <w:t xml:space="preserve"> risk measures and it is the measure that correlates most strongly with the standard deviation of stock returns.</w:t>
      </w:r>
      <w:r w:rsidR="00F2420C">
        <w:t xml:space="preserve">  The volatility in full fair value income</w:t>
      </w:r>
      <w:r w:rsidR="00872369">
        <w:t>, however,</w:t>
      </w:r>
      <w:r w:rsidR="00F2420C">
        <w:t xml:space="preserve"> is incrementally informative over </w:t>
      </w:r>
      <w:r w:rsidR="00872369">
        <w:t xml:space="preserve">both </w:t>
      </w:r>
      <w:r w:rsidR="00F2420C">
        <w:t xml:space="preserve">reported net income </w:t>
      </w:r>
      <w:r w:rsidR="00872369">
        <w:t>and</w:t>
      </w:r>
      <w:r w:rsidR="00F2420C">
        <w:t xml:space="preserve"> comprehensive income in explaining the standard deviation of stock returns, market model beta, and long-term interest rate beta. These findings suggest that a fair value measure of net income can inform on systematic</w:t>
      </w:r>
      <w:r w:rsidR="004D758B">
        <w:t>, interest,</w:t>
      </w:r>
      <w:r w:rsidR="00F2420C">
        <w:t xml:space="preserve"> and total risk.</w:t>
      </w:r>
      <w:r w:rsidR="004D758B">
        <w:t xml:space="preserve">  </w:t>
      </w:r>
      <w:r w:rsidR="00F37078">
        <w:t>They do not, however, specifically consider credit risk.</w:t>
      </w:r>
    </w:p>
    <w:p w:rsidR="00F61CD3" w:rsidRDefault="00BB6D83" w:rsidP="00C24489">
      <w:pPr>
        <w:spacing w:line="480" w:lineRule="auto"/>
        <w:ind w:firstLine="720"/>
      </w:pPr>
      <w:r>
        <w:t>In our study, rather than focus</w:t>
      </w:r>
      <w:r w:rsidR="00A51153">
        <w:t>ing</w:t>
      </w:r>
      <w:r>
        <w:t xml:space="preserve"> on fair value measures of net income and </w:t>
      </w:r>
      <w:r w:rsidR="00F37078">
        <w:t>interest rate risk</w:t>
      </w:r>
      <w:r w:rsidR="004D758B">
        <w:t xml:space="preserve">, </w:t>
      </w:r>
      <w:r>
        <w:t>we consider fair value</w:t>
      </w:r>
      <w:r w:rsidR="00A51153">
        <w:t xml:space="preserve"> measures</w:t>
      </w:r>
      <w:r>
        <w:t xml:space="preserve"> of </w:t>
      </w:r>
      <w:r w:rsidR="00A51153">
        <w:t>balance sheet leverage</w:t>
      </w:r>
      <w:r>
        <w:t xml:space="preserve"> and a measure of credit risk</w:t>
      </w:r>
      <w:r w:rsidR="00AD43B3">
        <w:t xml:space="preserve"> specific to the banking industry</w:t>
      </w:r>
      <w:r>
        <w:t>.</w:t>
      </w:r>
      <w:r w:rsidR="00A51153">
        <w:t xml:space="preserve">  </w:t>
      </w:r>
      <w:r w:rsidR="00DA237F">
        <w:t>Leverage</w:t>
      </w:r>
      <w:r w:rsidR="00972CE9">
        <w:t>, measured as assets divided by equity,</w:t>
      </w:r>
      <w:r w:rsidR="00DA237F">
        <w:t xml:space="preserve"> is generally considered to be the elasticity of equity value with respect to the value of assets.  A leverage ratio signifies how much equity will change given a one-percentage point of return on assets.  For example, if a bank has a leverage ratio of 10 then if assets fall (rise) in value by one percentage point, the value of equity will fall (rise) by 10 percentage points.</w:t>
      </w:r>
      <w:r w:rsidR="00972CE9">
        <w:t xml:space="preserve">  The higher a bank’s leverage ratio the larger impact a fall in asset prices will have on the </w:t>
      </w:r>
      <w:r w:rsidR="00972CE9">
        <w:lastRenderedPageBreak/>
        <w:t>solvency of the bank.</w:t>
      </w:r>
      <w:r w:rsidR="00F61CD3">
        <w:t xml:space="preserve">  Since the 1980s, bank regulators have monitored leverage ratios</w:t>
      </w:r>
      <w:r w:rsidR="00521DF2">
        <w:t xml:space="preserve"> to help restrict </w:t>
      </w:r>
      <w:r w:rsidR="00FD60E1">
        <w:t>the risk taken on by banks</w:t>
      </w:r>
      <w:r w:rsidR="00521DF2">
        <w:t>.</w:t>
      </w:r>
      <w:r w:rsidR="00521DF2">
        <w:rPr>
          <w:rStyle w:val="FootnoteReference"/>
        </w:rPr>
        <w:footnoteReference w:id="2"/>
      </w:r>
      <w:r w:rsidR="00521DF2">
        <w:t xml:space="preserve">   </w:t>
      </w:r>
    </w:p>
    <w:p w:rsidR="00085790" w:rsidRDefault="00972CE9" w:rsidP="00C24489">
      <w:pPr>
        <w:spacing w:line="480" w:lineRule="auto"/>
        <w:ind w:firstLine="720"/>
      </w:pPr>
      <w:r>
        <w:t xml:space="preserve">To calculate leverage, one needs </w:t>
      </w:r>
      <w:r w:rsidR="008A420F">
        <w:t xml:space="preserve">to choose a measurement system for assets and liabilities (note that equity equals assets less liabilities).  For example, assets and liabilities could be measured based on a historical (amortized) cost basis.  Alternatively, they could be measured using the mixed attribute model </w:t>
      </w:r>
      <w:r w:rsidR="00EA5D67">
        <w:t xml:space="preserve">currently prescribed </w:t>
      </w:r>
      <w:r w:rsidR="008A420F">
        <w:t xml:space="preserve">under </w:t>
      </w:r>
      <w:r w:rsidR="00EA5D67">
        <w:t xml:space="preserve">US </w:t>
      </w:r>
      <w:r w:rsidR="008A420F">
        <w:t xml:space="preserve">Generally Accepted Accounting Principles (GAAP) or </w:t>
      </w:r>
      <w:r w:rsidR="00EA5D67">
        <w:t>they could be measured using</w:t>
      </w:r>
      <w:r w:rsidR="008A420F">
        <w:t xml:space="preserve"> a </w:t>
      </w:r>
      <w:r w:rsidR="00F37078">
        <w:t xml:space="preserve">full </w:t>
      </w:r>
      <w:r w:rsidR="008A420F">
        <w:t>fair value model where all financial instruments, both assets and liabilities</w:t>
      </w:r>
      <w:r w:rsidR="00F25E82">
        <w:t>,</w:t>
      </w:r>
      <w:r w:rsidR="008A420F">
        <w:t xml:space="preserve"> are measured at fair value.  Given that fair values of financial instruments </w:t>
      </w:r>
      <w:r w:rsidR="00A75147">
        <w:t xml:space="preserve">have the potential to better </w:t>
      </w:r>
      <w:r w:rsidR="008A420F">
        <w:t>reflect current economic value</w:t>
      </w:r>
      <w:r w:rsidR="00A75147">
        <w:t xml:space="preserve"> than historical costs</w:t>
      </w:r>
      <w:r w:rsidR="008A420F">
        <w:t xml:space="preserve">, we hypothesize that leverage ratios of banks calculated with all financial instruments at fair value will be more highly associated with the credit risk of the banking industry than leverage calculated with </w:t>
      </w:r>
      <w:r w:rsidR="00F25E82">
        <w:t xml:space="preserve">relatively </w:t>
      </w:r>
      <w:r w:rsidR="008A420F">
        <w:t xml:space="preserve">less fair values and more historical cost measures.  </w:t>
      </w:r>
      <w:r>
        <w:t xml:space="preserve"> </w:t>
      </w:r>
    </w:p>
    <w:p w:rsidR="00F37078" w:rsidRDefault="001E4C9C" w:rsidP="00C24489">
      <w:pPr>
        <w:spacing w:line="480" w:lineRule="auto"/>
        <w:ind w:firstLine="720"/>
      </w:pPr>
      <w:r w:rsidRPr="007D14E8">
        <w:t>F</w:t>
      </w:r>
      <w:r w:rsidR="008C1467" w:rsidRPr="007D14E8">
        <w:t>air values reflect both credit and interest rate risk.  If interest rate risk swamps credit rate risk in the fair value measurements then it may be the case that including fair value measures in leverage reduces the ability of leverage to inform on credit risk.</w:t>
      </w:r>
      <w:r w:rsidR="002E23D6" w:rsidRPr="007D14E8">
        <w:t xml:space="preserve">  Furthermore, </w:t>
      </w:r>
      <w:r w:rsidRPr="007D14E8">
        <w:t xml:space="preserve">as the ABA argues, </w:t>
      </w:r>
      <w:r w:rsidR="007D14E8" w:rsidRPr="007D14E8">
        <w:t xml:space="preserve">if </w:t>
      </w:r>
      <w:r w:rsidR="002E23D6" w:rsidRPr="007D14E8">
        <w:t xml:space="preserve">fair values are </w:t>
      </w:r>
      <w:r w:rsidR="00442F68" w:rsidRPr="007D14E8">
        <w:t>less</w:t>
      </w:r>
      <w:r w:rsidR="002E23D6" w:rsidRPr="007D14E8">
        <w:t xml:space="preserve"> meaningful </w:t>
      </w:r>
      <w:r w:rsidR="00442F68" w:rsidRPr="007D14E8">
        <w:t xml:space="preserve">than amortized costs </w:t>
      </w:r>
      <w:r w:rsidR="002E23D6" w:rsidRPr="007D14E8">
        <w:t xml:space="preserve">or if fair values are </w:t>
      </w:r>
      <w:r w:rsidR="00442F68" w:rsidRPr="007D14E8">
        <w:t xml:space="preserve">too </w:t>
      </w:r>
      <w:r w:rsidR="002E23D6" w:rsidRPr="007D14E8">
        <w:t>unreliable, we would not expect full fair value leverage to be more highly associated with credit risk than GAAP leverage.</w:t>
      </w:r>
      <w:r w:rsidR="002E23D6">
        <w:t xml:space="preserve">  </w:t>
      </w:r>
    </w:p>
    <w:p w:rsidR="00972CE9" w:rsidRDefault="00972CE9" w:rsidP="00C24489">
      <w:pPr>
        <w:spacing w:line="480" w:lineRule="auto"/>
        <w:ind w:firstLine="720"/>
      </w:pPr>
      <w:r>
        <w:t xml:space="preserve">  </w:t>
      </w:r>
    </w:p>
    <w:p w:rsidR="00A75147" w:rsidRPr="00A75147" w:rsidRDefault="00A75147" w:rsidP="00085790">
      <w:pPr>
        <w:pStyle w:val="BodyTextIndent"/>
        <w:numPr>
          <w:ilvl w:val="0"/>
          <w:numId w:val="2"/>
        </w:numPr>
        <w:jc w:val="center"/>
        <w:rPr>
          <w:b/>
          <w:bCs/>
        </w:rPr>
      </w:pPr>
      <w:r>
        <w:rPr>
          <w:b/>
        </w:rPr>
        <w:lastRenderedPageBreak/>
        <w:t>DATA</w:t>
      </w:r>
    </w:p>
    <w:p w:rsidR="00A75147" w:rsidRPr="006E7D59" w:rsidRDefault="006E7D59" w:rsidP="00A75147">
      <w:pPr>
        <w:pStyle w:val="BodyTextIndent"/>
        <w:ind w:firstLine="0"/>
        <w:rPr>
          <w:b/>
        </w:rPr>
      </w:pPr>
      <w:r>
        <w:rPr>
          <w:b/>
        </w:rPr>
        <w:t xml:space="preserve">Measuring </w:t>
      </w:r>
      <w:r w:rsidR="00A75147" w:rsidRPr="006E7D59">
        <w:rPr>
          <w:b/>
        </w:rPr>
        <w:t>Credit Risk</w:t>
      </w:r>
    </w:p>
    <w:p w:rsidR="00D45C54" w:rsidRDefault="00A75147" w:rsidP="006E7D59">
      <w:pPr>
        <w:pStyle w:val="NormalWeb"/>
        <w:spacing w:before="0" w:beforeAutospacing="0" w:after="0" w:afterAutospacing="0" w:line="480" w:lineRule="auto"/>
        <w:ind w:firstLine="720"/>
      </w:pPr>
      <w:r>
        <w:t>To proxy for credit risk we rely on the TED spread</w:t>
      </w:r>
      <w:r w:rsidR="00B432B1">
        <w:t>, which we denote as TED</w:t>
      </w:r>
      <w:r>
        <w:t xml:space="preserve">.  </w:t>
      </w:r>
      <w:r w:rsidR="00B432B1" w:rsidRPr="00B432B1">
        <w:rPr>
          <w:bCs/>
        </w:rPr>
        <w:t xml:space="preserve">TED </w:t>
      </w:r>
      <w:r w:rsidR="00013410">
        <w:rPr>
          <w:bCs/>
        </w:rPr>
        <w:t xml:space="preserve">is </w:t>
      </w:r>
      <w:r w:rsidR="00B432B1">
        <w:t xml:space="preserve">the difference between the </w:t>
      </w:r>
      <w:r w:rsidR="00013410">
        <w:t xml:space="preserve">three-month </w:t>
      </w:r>
      <w:r w:rsidR="00B432B1">
        <w:t xml:space="preserve">interest rates </w:t>
      </w:r>
      <w:r w:rsidR="00013410">
        <w:t xml:space="preserve">by the </w:t>
      </w:r>
      <w:r w:rsidR="00013410" w:rsidRPr="006B2558">
        <w:t>London Interbank Offered Rate</w:t>
      </w:r>
      <w:r w:rsidR="00013410">
        <w:t xml:space="preserve"> (LIBOR)</w:t>
      </w:r>
      <w:r w:rsidR="00B432B1">
        <w:t xml:space="preserve"> and </w:t>
      </w:r>
      <w:r w:rsidR="00013410">
        <w:t>the</w:t>
      </w:r>
      <w:r w:rsidR="00B432B1" w:rsidRPr="006B2558">
        <w:t xml:space="preserve"> </w:t>
      </w:r>
      <w:smartTag w:uri="urn:schemas-microsoft-com:office:smarttags" w:element="place">
        <w:smartTag w:uri="urn:schemas-microsoft-com:office:smarttags" w:element="country-region">
          <w:r w:rsidR="00B432B1" w:rsidRPr="006B2558">
            <w:t>U.S.</w:t>
          </w:r>
        </w:smartTag>
      </w:smartTag>
      <w:r w:rsidR="00B432B1" w:rsidRPr="006B2558">
        <w:t xml:space="preserve"> government debt</w:t>
      </w:r>
      <w:r w:rsidR="00013410">
        <w:t xml:space="preserve"> (</w:t>
      </w:r>
      <w:r w:rsidR="00B432B1">
        <w:t>T-bills).</w:t>
      </w:r>
      <w:r w:rsidR="00013410">
        <w:rPr>
          <w:rStyle w:val="FootnoteReference"/>
        </w:rPr>
        <w:footnoteReference w:id="3"/>
      </w:r>
      <w:r w:rsidR="00B432B1">
        <w:t xml:space="preserve"> </w:t>
      </w:r>
      <w:r w:rsidR="00013410">
        <w:t xml:space="preserve"> </w:t>
      </w:r>
      <w:r w:rsidR="00CA4543" w:rsidRPr="009D482F">
        <w:t xml:space="preserve">LIBOR </w:t>
      </w:r>
      <w:r w:rsidR="004021C9" w:rsidRPr="009D482F">
        <w:t xml:space="preserve">in US dollars </w:t>
      </w:r>
      <w:r w:rsidR="00CA4543" w:rsidRPr="009D482F">
        <w:t xml:space="preserve">is </w:t>
      </w:r>
      <w:r w:rsidR="00970CFE" w:rsidRPr="009D482F">
        <w:t xml:space="preserve">calculated by the British Bankers’ Association as the </w:t>
      </w:r>
      <w:r w:rsidR="00CA4543" w:rsidRPr="009D482F">
        <w:t xml:space="preserve">average interest rate </w:t>
      </w:r>
      <w:r w:rsidR="00EA645E" w:rsidRPr="009D482F">
        <w:t xml:space="preserve">that </w:t>
      </w:r>
      <w:r w:rsidR="00CA4543" w:rsidRPr="009D482F">
        <w:t xml:space="preserve">the middle two quartiles of the top 16 world-wide banks </w:t>
      </w:r>
      <w:r w:rsidR="00970CFE" w:rsidRPr="009D482F">
        <w:t xml:space="preserve">believe they would be </w:t>
      </w:r>
      <w:r w:rsidR="00CA4543" w:rsidRPr="009D482F">
        <w:t>charge</w:t>
      </w:r>
      <w:r w:rsidR="00970CFE" w:rsidRPr="009D482F">
        <w:t>d</w:t>
      </w:r>
      <w:r w:rsidR="00CA4543" w:rsidRPr="009D482F">
        <w:t xml:space="preserve"> </w:t>
      </w:r>
      <w:r w:rsidR="00970CFE" w:rsidRPr="009D482F">
        <w:t>for borrowing</w:t>
      </w:r>
      <w:r w:rsidR="00CA4543" w:rsidRPr="009D482F">
        <w:t xml:space="preserve"> unsecured </w:t>
      </w:r>
      <w:r w:rsidR="004021C9" w:rsidRPr="009D482F">
        <w:t xml:space="preserve">US dollars </w:t>
      </w:r>
      <w:r w:rsidR="00CA4543" w:rsidRPr="009D482F">
        <w:t>on a short-term basis in the London wholesale money market.</w:t>
      </w:r>
      <w:r w:rsidR="00CA4543">
        <w:rPr>
          <w:color w:val="1F497D"/>
        </w:rPr>
        <w:t xml:space="preserve"> </w:t>
      </w:r>
      <w:r w:rsidR="00970CFE">
        <w:rPr>
          <w:color w:val="1F497D"/>
        </w:rPr>
        <w:t xml:space="preserve"> </w:t>
      </w:r>
      <w:r w:rsidR="00013410">
        <w:t>TED</w:t>
      </w:r>
      <w:r w:rsidR="00B432B1">
        <w:t xml:space="preserve"> is usually denominated in </w:t>
      </w:r>
      <w:r w:rsidR="00B432B1" w:rsidRPr="006B2558">
        <w:t>basis points</w:t>
      </w:r>
      <w:r w:rsidR="00B432B1">
        <w:t xml:space="preserve"> (bps). For example, if the T-bill rate is 5.</w:t>
      </w:r>
      <w:r w:rsidR="00391450">
        <w:t>2</w:t>
      </w:r>
      <w:r w:rsidR="00B432B1">
        <w:t xml:space="preserve">0% and </w:t>
      </w:r>
      <w:r w:rsidR="00013410">
        <w:t>LIBOR is</w:t>
      </w:r>
      <w:r w:rsidR="00B432B1">
        <w:t xml:space="preserve"> at 5.</w:t>
      </w:r>
      <w:r w:rsidR="00D45C54">
        <w:t>4</w:t>
      </w:r>
      <w:r w:rsidR="00391450">
        <w:t>5</w:t>
      </w:r>
      <w:r w:rsidR="00B432B1">
        <w:t xml:space="preserve">%, the TED spread is </w:t>
      </w:r>
      <w:r w:rsidR="00D45C54">
        <w:t>2</w:t>
      </w:r>
      <w:r w:rsidR="00103063">
        <w:t>5</w:t>
      </w:r>
      <w:r w:rsidR="00B432B1">
        <w:t xml:space="preserve"> bps. </w:t>
      </w:r>
    </w:p>
    <w:p w:rsidR="00103063" w:rsidRDefault="00391450" w:rsidP="006E7D59">
      <w:pPr>
        <w:pStyle w:val="NormalWeb"/>
        <w:spacing w:before="0" w:beforeAutospacing="0" w:after="0" w:afterAutospacing="0" w:line="480" w:lineRule="auto"/>
        <w:ind w:firstLine="720"/>
      </w:pPr>
      <w:r>
        <w:t xml:space="preserve">TED </w:t>
      </w:r>
      <w:r w:rsidR="00B432B1">
        <w:t xml:space="preserve">is an indicator of perceived </w:t>
      </w:r>
      <w:r w:rsidR="00B432B1" w:rsidRPr="006B2558">
        <w:t>credit risk</w:t>
      </w:r>
      <w:r>
        <w:t xml:space="preserve"> in both the banking sector </w:t>
      </w:r>
      <w:r w:rsidR="00234477">
        <w:t>as well as</w:t>
      </w:r>
      <w:r>
        <w:t xml:space="preserve"> the general economy </w:t>
      </w:r>
      <w:r w:rsidR="00B432B1">
        <w:t xml:space="preserve">because T-bills are considered risk-free while LIBOR reflects the credit risk of lending to commercial banks. </w:t>
      </w:r>
      <w:r w:rsidR="0033493A">
        <w:t>For example, i</w:t>
      </w:r>
      <w:r>
        <w:t>f the risk of default on interbank loans increases, interbank lenders demand a higher rate of interest</w:t>
      </w:r>
      <w:r w:rsidR="0033493A">
        <w:t xml:space="preserve"> resulting in an increase in TED</w:t>
      </w:r>
      <w:r>
        <w:t>.  Therefore, an increasing TED</w:t>
      </w:r>
      <w:r w:rsidR="00B432B1">
        <w:t xml:space="preserve"> is a sign that lenders believe the risk of default on interbank loans (also known as </w:t>
      </w:r>
      <w:r w:rsidR="00B432B1" w:rsidRPr="006B2558">
        <w:t>counterparty risk</w:t>
      </w:r>
      <w:r w:rsidR="00B432B1">
        <w:t xml:space="preserve">) is increasing. </w:t>
      </w:r>
      <w:r>
        <w:t>Alternatively, if</w:t>
      </w:r>
      <w:r w:rsidR="00B432B1">
        <w:t xml:space="preserve"> the risk of bank defaults is considered to be decreasing, the TED spread decreases. </w:t>
      </w:r>
      <w:r>
        <w:t xml:space="preserve"> </w:t>
      </w:r>
    </w:p>
    <w:p w:rsidR="00D45C54" w:rsidRDefault="00CB0F8E" w:rsidP="00D45C54">
      <w:pPr>
        <w:pStyle w:val="NormalWeb"/>
        <w:spacing w:before="0" w:beforeAutospacing="0" w:after="0" w:afterAutospacing="0" w:line="480" w:lineRule="auto"/>
        <w:ind w:firstLine="720"/>
      </w:pPr>
      <w:r>
        <w:t>We obtained TED from Bloomberg.</w:t>
      </w:r>
      <w:r>
        <w:rPr>
          <w:rStyle w:val="FootnoteReference"/>
        </w:rPr>
        <w:footnoteReference w:id="4"/>
      </w:r>
      <w:r w:rsidRPr="00CB0F8E">
        <w:t xml:space="preserve">  </w:t>
      </w:r>
      <w:r w:rsidR="00391450">
        <w:t xml:space="preserve">Figure one </w:t>
      </w:r>
      <w:r w:rsidR="00D45C54">
        <w:t xml:space="preserve">reports </w:t>
      </w:r>
      <w:r w:rsidR="006276B8">
        <w:t xml:space="preserve">month-end </w:t>
      </w:r>
      <w:r w:rsidR="00D45C54">
        <w:t>TED</w:t>
      </w:r>
      <w:r w:rsidR="00103063">
        <w:t xml:space="preserve"> from 1984 through June 2009.  It </w:t>
      </w:r>
      <w:r w:rsidR="004E0234">
        <w:t xml:space="preserve">shows that TED fluctuates over time but </w:t>
      </w:r>
      <w:r w:rsidR="00103063">
        <w:t xml:space="preserve">is generally in the range of </w:t>
      </w:r>
      <w:r w:rsidR="004E0234">
        <w:t>0.1% and 0.75%</w:t>
      </w:r>
      <w:r w:rsidR="00311E83">
        <w:t xml:space="preserve"> (10 and 75 bps)</w:t>
      </w:r>
      <w:r w:rsidR="00234477">
        <w:t xml:space="preserve">.  TED </w:t>
      </w:r>
      <w:r w:rsidR="004E0234">
        <w:t>spikes in times of a financial crisis</w:t>
      </w:r>
      <w:r w:rsidR="00234477">
        <w:t xml:space="preserve">.  It </w:t>
      </w:r>
      <w:r w:rsidR="00234477">
        <w:lastRenderedPageBreak/>
        <w:t xml:space="preserve">reached 250 bps during the </w:t>
      </w:r>
      <w:r w:rsidR="004E0234">
        <w:t>savings and loan crisis in the late 1980s</w:t>
      </w:r>
      <w:r w:rsidR="00234477">
        <w:t xml:space="preserve"> and over 300 </w:t>
      </w:r>
      <w:r w:rsidR="00977D07">
        <w:t>bps</w:t>
      </w:r>
      <w:r w:rsidR="00234477">
        <w:t xml:space="preserve"> during the recent crisis.</w:t>
      </w:r>
    </w:p>
    <w:p w:rsidR="00234477" w:rsidRDefault="00234477" w:rsidP="00D45C54">
      <w:pPr>
        <w:pStyle w:val="NormalWeb"/>
        <w:spacing w:before="0" w:beforeAutospacing="0" w:after="0" w:afterAutospacing="0" w:line="480" w:lineRule="auto"/>
        <w:ind w:firstLine="720"/>
      </w:pPr>
    </w:p>
    <w:p w:rsidR="00B432B1" w:rsidRPr="00BB523A" w:rsidRDefault="00BB523A" w:rsidP="00BB523A">
      <w:pPr>
        <w:pStyle w:val="NormalWeb"/>
        <w:spacing w:before="0" w:beforeAutospacing="0" w:after="0" w:afterAutospacing="0" w:line="480" w:lineRule="auto"/>
        <w:rPr>
          <w:b/>
        </w:rPr>
      </w:pPr>
      <w:r w:rsidRPr="00BB523A">
        <w:rPr>
          <w:b/>
        </w:rPr>
        <w:t>Leverage Measures</w:t>
      </w:r>
    </w:p>
    <w:p w:rsidR="00BB0516" w:rsidRDefault="00151E5D" w:rsidP="00BB0516">
      <w:pPr>
        <w:pStyle w:val="msolistparagraph0"/>
        <w:spacing w:line="480" w:lineRule="auto"/>
        <w:ind w:left="0" w:firstLine="720"/>
      </w:pPr>
      <w:r>
        <w:t>We calculate leverage s</w:t>
      </w:r>
      <w:r w:rsidR="001F169E">
        <w:t>ix</w:t>
      </w:r>
      <w:r>
        <w:t xml:space="preserve"> different ways using the data provided by the SNL DataSource database.  The SNL data is collected from the bank holding company annual reports filed with the SEC and from Y9-C reports filed with the Federal Reserve.  First, we calculate leverage based on assets and liabilities </w:t>
      </w:r>
      <w:r w:rsidR="00390517">
        <w:t xml:space="preserve">as </w:t>
      </w:r>
      <w:r>
        <w:t xml:space="preserve">reported in the GAAP financial statements.  Under GAAP some financial instruments are reported at amortized cost and some at fair value, so this leverage measure, which we </w:t>
      </w:r>
      <w:r w:rsidR="0040225F">
        <w:t>denote</w:t>
      </w:r>
      <w:r>
        <w:t xml:space="preserve"> as GAAP</w:t>
      </w:r>
      <w:r w:rsidRPr="00567224">
        <w:rPr>
          <w:i/>
        </w:rPr>
        <w:t>LEV</w:t>
      </w:r>
      <w:r>
        <w:t xml:space="preserve">, represents a mixture of fair values and amortized costs.  </w:t>
      </w:r>
    </w:p>
    <w:p w:rsidR="00BB0516" w:rsidRDefault="00BB0516" w:rsidP="00BB0516">
      <w:pPr>
        <w:pStyle w:val="msolistparagraph0"/>
        <w:spacing w:line="480" w:lineRule="auto"/>
        <w:ind w:left="0" w:firstLine="720"/>
        <w:rPr>
          <w:rFonts w:ascii="Calibri" w:hAnsi="Calibri"/>
          <w:color w:val="1F497D"/>
          <w:sz w:val="22"/>
          <w:szCs w:val="22"/>
        </w:rPr>
      </w:pPr>
      <w:r>
        <w:t xml:space="preserve">Second, we calculate leverage </w:t>
      </w:r>
      <w:r w:rsidR="0040225F">
        <w:t>consistent with</w:t>
      </w:r>
      <w:r w:rsidR="00FD60E1">
        <w:t xml:space="preserve"> regulators </w:t>
      </w:r>
      <w:r w:rsidR="0040225F">
        <w:t xml:space="preserve">by </w:t>
      </w:r>
      <w:r w:rsidR="00FD60E1">
        <w:t>using the T</w:t>
      </w:r>
      <w:r w:rsidRPr="00741DBC">
        <w:t>ier1 leverage ratio from the Y9-C reports</w:t>
      </w:r>
      <w:r w:rsidR="0040225F">
        <w:t>,</w:t>
      </w:r>
      <w:r w:rsidRPr="00741DBC">
        <w:t xml:space="preserve"> which is </w:t>
      </w:r>
      <w:r w:rsidR="0040225F">
        <w:t>T</w:t>
      </w:r>
      <w:r w:rsidRPr="00741DBC">
        <w:t>ier 1 capital divided by average adjusted total assets, multiplied by 100</w:t>
      </w:r>
      <w:r>
        <w:t xml:space="preserve">.  </w:t>
      </w:r>
      <w:r w:rsidR="0040225F">
        <w:t>Regulators require</w:t>
      </w:r>
      <w:r w:rsidR="00FD60E1">
        <w:t xml:space="preserve"> that </w:t>
      </w:r>
      <w:r w:rsidR="0040225F">
        <w:t>T</w:t>
      </w:r>
      <w:r w:rsidR="00FD60E1">
        <w:t xml:space="preserve">ier 1 capital divided by average adjusted total assets should be </w:t>
      </w:r>
      <w:r w:rsidR="0040225F">
        <w:t xml:space="preserve">at least </w:t>
      </w:r>
      <w:r w:rsidR="00FD60E1">
        <w:t xml:space="preserve">between three and four percent to consider the bank to be adequately capitalized.  </w:t>
      </w:r>
      <w:r>
        <w:t xml:space="preserve">To make a </w:t>
      </w:r>
      <w:r w:rsidR="00FD60E1">
        <w:t xml:space="preserve">Tier 1 leverage </w:t>
      </w:r>
      <w:r>
        <w:t xml:space="preserve">measure comparable to our other leverage measures </w:t>
      </w:r>
      <w:r w:rsidR="00FD60E1">
        <w:t>we first divide the T</w:t>
      </w:r>
      <w:r>
        <w:t xml:space="preserve">ier1 leverage ratio by 100 and then invert it. </w:t>
      </w:r>
      <w:r w:rsidRPr="00BB0516">
        <w:t xml:space="preserve"> There are several differences between TIER1</w:t>
      </w:r>
      <w:r w:rsidRPr="00BB0516">
        <w:rPr>
          <w:i/>
          <w:iCs/>
        </w:rPr>
        <w:t>LEV</w:t>
      </w:r>
      <w:r w:rsidRPr="00BB0516">
        <w:t xml:space="preserve"> and GAAP</w:t>
      </w:r>
      <w:r w:rsidRPr="00BB0516">
        <w:rPr>
          <w:i/>
          <w:iCs/>
        </w:rPr>
        <w:t>LEV</w:t>
      </w:r>
      <w:r w:rsidRPr="00BB0516">
        <w:t>. First, under TIER1</w:t>
      </w:r>
      <w:r w:rsidRPr="00BB0516">
        <w:rPr>
          <w:i/>
          <w:iCs/>
        </w:rPr>
        <w:t>LEV</w:t>
      </w:r>
      <w:r w:rsidRPr="00BB0516">
        <w:t>, unrealized gains and losses on available for sale securities and derivatives accounted for as cash flow hedges are not recognized. Second, most goodwill and intangible assets are excluded, and for any financial liabilities recorded at fair value by the bank, TIER1</w:t>
      </w:r>
      <w:r w:rsidRPr="00BB0516">
        <w:rPr>
          <w:i/>
          <w:iCs/>
        </w:rPr>
        <w:t>LEV</w:t>
      </w:r>
      <w:r w:rsidRPr="00BB0516">
        <w:t xml:space="preserve"> excludes the portion of the cumulative change in their fair values that is due to changes in the bank’s creditworthiness. Finally, the inclusion of the following items is limited based </w:t>
      </w:r>
      <w:r w:rsidRPr="00BB0516">
        <w:lastRenderedPageBreak/>
        <w:t>on various factors (specific to each item): cumulative preferred stock, mortgage servicing assets, deferred tax assets, credit-enhancing interest-only strip receivables, and nonfinancial equity investments.</w:t>
      </w:r>
      <w:r>
        <w:t xml:space="preserve"> We denote this ratio as</w:t>
      </w:r>
      <w:r w:rsidRPr="00741DBC">
        <w:t xml:space="preserve"> </w:t>
      </w:r>
      <w:r>
        <w:t>TIER1</w:t>
      </w:r>
      <w:r w:rsidRPr="004121C1">
        <w:rPr>
          <w:i/>
        </w:rPr>
        <w:t>LEV</w:t>
      </w:r>
      <w:r>
        <w:rPr>
          <w:rFonts w:ascii="Calibri" w:hAnsi="Calibri"/>
          <w:color w:val="1F497D"/>
          <w:sz w:val="22"/>
          <w:szCs w:val="22"/>
        </w:rPr>
        <w:t xml:space="preserve">.  </w:t>
      </w:r>
    </w:p>
    <w:p w:rsidR="00BB0516" w:rsidRDefault="00BB0516" w:rsidP="00BB0516">
      <w:pPr>
        <w:pStyle w:val="msolistparagraph0"/>
        <w:spacing w:line="480" w:lineRule="auto"/>
        <w:ind w:left="0" w:firstLine="720"/>
      </w:pPr>
      <w:r>
        <w:t>Third</w:t>
      </w:r>
      <w:r w:rsidR="00151E5D">
        <w:t xml:space="preserve">, we calculate leverage </w:t>
      </w:r>
      <w:r w:rsidR="00633CAD">
        <w:t>using the</w:t>
      </w:r>
      <w:r w:rsidR="00151E5D">
        <w:t xml:space="preserve"> fair values of all financial instruments, both assets and liabilities</w:t>
      </w:r>
      <w:r w:rsidR="00567224">
        <w:t>, which we refer to as</w:t>
      </w:r>
      <w:r w:rsidR="00D20932">
        <w:t xml:space="preserve"> being full fair value and denote as</w:t>
      </w:r>
      <w:r w:rsidR="00567224">
        <w:t xml:space="preserve"> FV</w:t>
      </w:r>
      <w:r w:rsidR="00567224" w:rsidRPr="00567224">
        <w:rPr>
          <w:i/>
        </w:rPr>
        <w:t>LEV</w:t>
      </w:r>
      <w:r w:rsidR="00151E5D">
        <w:t xml:space="preserve">.  </w:t>
      </w:r>
      <w:r w:rsidR="00633CAD">
        <w:t xml:space="preserve">To calculate fair values we start with the </w:t>
      </w:r>
      <w:r w:rsidR="001F169E">
        <w:t xml:space="preserve">GAAP </w:t>
      </w:r>
      <w:r w:rsidR="00633CAD">
        <w:t xml:space="preserve">reported assets and liabilities and adjust </w:t>
      </w:r>
      <w:r w:rsidR="001F169E">
        <w:t xml:space="preserve">them to fair value using </w:t>
      </w:r>
      <w:r w:rsidR="00633CAD">
        <w:t xml:space="preserve">the </w:t>
      </w:r>
      <w:r w:rsidR="001F169E">
        <w:t xml:space="preserve">FAS 107 </w:t>
      </w:r>
      <w:r w:rsidR="00367F65">
        <w:t xml:space="preserve">adjustment </w:t>
      </w:r>
      <w:r w:rsidR="001F169E">
        <w:t xml:space="preserve">on the fair values of financial instruments.  This </w:t>
      </w:r>
      <w:r w:rsidR="00367F65">
        <w:t xml:space="preserve">adjustment </w:t>
      </w:r>
      <w:r w:rsidR="001F169E">
        <w:t>include</w:t>
      </w:r>
      <w:r w:rsidR="00367F65">
        <w:t>s the</w:t>
      </w:r>
      <w:r w:rsidR="001F169E">
        <w:t xml:space="preserve"> fair values of </w:t>
      </w:r>
      <w:r w:rsidR="00567224">
        <w:t xml:space="preserve">held to maturity securities, loans, and debt.   </w:t>
      </w:r>
      <w:r w:rsidR="00633CAD">
        <w:t xml:space="preserve">In addition, </w:t>
      </w:r>
      <w:r w:rsidR="001F169E">
        <w:t xml:space="preserve">we adjust the deferred tax assets and liabilities </w:t>
      </w:r>
      <w:r w:rsidR="00633CAD">
        <w:t>for the tax implications of the unrealized gains and losses on the disclosed fair values</w:t>
      </w:r>
      <w:r w:rsidR="00072420">
        <w:t xml:space="preserve"> using the statutory Federal income tax rate</w:t>
      </w:r>
      <w:r w:rsidR="00633CAD">
        <w:t xml:space="preserve">.  </w:t>
      </w:r>
      <w:r w:rsidR="001F169E">
        <w:t xml:space="preserve"> </w:t>
      </w:r>
    </w:p>
    <w:p w:rsidR="00BB0516" w:rsidRDefault="00BB0516" w:rsidP="00BB0516">
      <w:pPr>
        <w:pStyle w:val="msolistparagraph0"/>
        <w:spacing w:line="480" w:lineRule="auto"/>
        <w:ind w:left="0" w:firstLine="720"/>
      </w:pPr>
      <w:r>
        <w:t>Fourth</w:t>
      </w:r>
      <w:r w:rsidR="001F169E">
        <w:t>, we calculate leverage using the fair value</w:t>
      </w:r>
      <w:r w:rsidR="00367F65">
        <w:t>s</w:t>
      </w:r>
      <w:r w:rsidR="001F169E">
        <w:t xml:space="preserve"> of </w:t>
      </w:r>
      <w:r w:rsidR="00367F65">
        <w:t xml:space="preserve">financial instruments that are </w:t>
      </w:r>
      <w:r w:rsidR="001F169E">
        <w:t>assets</w:t>
      </w:r>
      <w:r w:rsidR="008C1467">
        <w:t xml:space="preserve"> and the reported GAAP values for liabilities</w:t>
      </w:r>
      <w:r w:rsidR="00351965">
        <w:t xml:space="preserve"> except we</w:t>
      </w:r>
      <w:r w:rsidR="001F169E">
        <w:t xml:space="preserve"> adjust the deferred tax liability to </w:t>
      </w:r>
      <w:r w:rsidR="00E60AE2">
        <w:t>reflect</w:t>
      </w:r>
      <w:r w:rsidR="001F169E">
        <w:t xml:space="preserve"> the fair value adjustments made to the assets.  </w:t>
      </w:r>
      <w:r w:rsidR="00351965">
        <w:t xml:space="preserve">We </w:t>
      </w:r>
      <w:r w:rsidR="00F9054B">
        <w:t>denote this calculation as</w:t>
      </w:r>
      <w:r w:rsidR="00351965">
        <w:t xml:space="preserve"> FVASSET</w:t>
      </w:r>
      <w:r w:rsidR="00351965" w:rsidRPr="001F169E">
        <w:rPr>
          <w:i/>
        </w:rPr>
        <w:t>LEV</w:t>
      </w:r>
      <w:r w:rsidR="00351965">
        <w:t xml:space="preserve">.   </w:t>
      </w:r>
    </w:p>
    <w:p w:rsidR="00BB0516" w:rsidRDefault="001F169E" w:rsidP="00BB0516">
      <w:pPr>
        <w:pStyle w:val="msolistparagraph0"/>
        <w:spacing w:line="480" w:lineRule="auto"/>
        <w:ind w:left="0" w:firstLine="720"/>
      </w:pPr>
      <w:r>
        <w:t>F</w:t>
      </w:r>
      <w:r w:rsidR="00BB0516">
        <w:t>ifth</w:t>
      </w:r>
      <w:r>
        <w:t>, we</w:t>
      </w:r>
      <w:r w:rsidRPr="001F169E">
        <w:t xml:space="preserve"> </w:t>
      </w:r>
      <w:r>
        <w:t xml:space="preserve">calculate leverage using </w:t>
      </w:r>
      <w:r w:rsidR="00351965">
        <w:t>the fair values for liabilities and the reported GAAP values for assets except</w:t>
      </w:r>
      <w:r>
        <w:t xml:space="preserve"> we adjust the deferred tax asset to </w:t>
      </w:r>
      <w:r w:rsidR="00E60AE2">
        <w:t>reflect</w:t>
      </w:r>
      <w:r>
        <w:t xml:space="preserve"> the fair value adjustments made to the liabilities. </w:t>
      </w:r>
      <w:r w:rsidR="00351965">
        <w:t xml:space="preserve">We </w:t>
      </w:r>
      <w:r w:rsidR="00F9054B">
        <w:t xml:space="preserve">denote </w:t>
      </w:r>
      <w:r w:rsidR="00351965">
        <w:t>this as FVLIAB</w:t>
      </w:r>
      <w:r w:rsidR="00351965" w:rsidRPr="001F169E">
        <w:rPr>
          <w:i/>
        </w:rPr>
        <w:t>LEV</w:t>
      </w:r>
      <w:r w:rsidR="000F6288">
        <w:rPr>
          <w:i/>
        </w:rPr>
        <w:t>.</w:t>
      </w:r>
      <w:r w:rsidR="00351965">
        <w:rPr>
          <w:i/>
        </w:rPr>
        <w:t xml:space="preserve"> </w:t>
      </w:r>
      <w:r>
        <w:t xml:space="preserve"> </w:t>
      </w:r>
    </w:p>
    <w:p w:rsidR="00BB523A" w:rsidRDefault="00A500E7" w:rsidP="00BB0516">
      <w:pPr>
        <w:pStyle w:val="msolistparagraph0"/>
        <w:spacing w:line="480" w:lineRule="auto"/>
        <w:ind w:left="0" w:firstLine="720"/>
      </w:pPr>
      <w:r>
        <w:t>Sixth, we calculate leverage using historical amortized cost for the available for sale portfolio and using reported GAAP amounts for all other assets and liabilities</w:t>
      </w:r>
      <w:r w:rsidR="00741DBC">
        <w:t xml:space="preserve"> except reported deferred tax assets and liabilities are adjusted so they do not reflect the deferred tax effects of the unrealized gains and losses on</w:t>
      </w:r>
      <w:r w:rsidR="00AA0016">
        <w:t xml:space="preserve"> the</w:t>
      </w:r>
      <w:r w:rsidR="00741DBC">
        <w:t xml:space="preserve"> available for sale portfolio.  We denote </w:t>
      </w:r>
      <w:r w:rsidR="00741DBC">
        <w:lastRenderedPageBreak/>
        <w:t>this more historical cost based measure</w:t>
      </w:r>
      <w:r>
        <w:t xml:space="preserve"> HC</w:t>
      </w:r>
      <w:r w:rsidRPr="004121C1">
        <w:rPr>
          <w:i/>
        </w:rPr>
        <w:t>LEV</w:t>
      </w:r>
      <w:r>
        <w:t>.</w:t>
      </w:r>
      <w:r w:rsidR="00741DBC">
        <w:rPr>
          <w:rStyle w:val="FootnoteReference"/>
        </w:rPr>
        <w:footnoteReference w:id="5"/>
      </w:r>
      <w:r w:rsidR="00E60AE2">
        <w:t xml:space="preserve">  We have fewer observations on historical cost than the other leverage measures because</w:t>
      </w:r>
      <w:r w:rsidR="00D97683">
        <w:t xml:space="preserve"> this data isn’t </w:t>
      </w:r>
      <w:r w:rsidR="00981915">
        <w:t>provided by</w:t>
      </w:r>
      <w:r w:rsidR="00476413">
        <w:t xml:space="preserve"> SNL </w:t>
      </w:r>
      <w:r w:rsidR="00D97683">
        <w:t xml:space="preserve">until 1994 </w:t>
      </w:r>
      <w:r w:rsidR="00476413">
        <w:t>when</w:t>
      </w:r>
      <w:r w:rsidR="00D97683">
        <w:t xml:space="preserve"> </w:t>
      </w:r>
      <w:r w:rsidR="00476413">
        <w:t>FAS 115 was adopted.</w:t>
      </w:r>
    </w:p>
    <w:p w:rsidR="00E118FB" w:rsidRDefault="00E118FB" w:rsidP="00E118FB">
      <w:pPr>
        <w:pStyle w:val="NormalWeb"/>
        <w:spacing w:before="0" w:beforeAutospacing="0" w:after="0" w:afterAutospacing="0" w:line="480" w:lineRule="auto"/>
        <w:ind w:firstLine="720"/>
      </w:pPr>
      <w:r>
        <w:t xml:space="preserve">Table 1 </w:t>
      </w:r>
      <w:r w:rsidR="00981915">
        <w:t>reports</w:t>
      </w:r>
      <w:r>
        <w:t xml:space="preserve"> descriptive statistics on each of our leverage measures</w:t>
      </w:r>
      <w:r w:rsidR="00487C70">
        <w:t xml:space="preserve"> for the 1,046 bank holding companies </w:t>
      </w:r>
      <w:r w:rsidR="00311E83">
        <w:t xml:space="preserve">with December 31 fiscal year ends </w:t>
      </w:r>
      <w:r w:rsidR="00487C70">
        <w:t xml:space="preserve">included in SNL Datasource with at least two years of data necessary to calculate </w:t>
      </w:r>
      <w:r w:rsidR="00A00619">
        <w:t>FV</w:t>
      </w:r>
      <w:r w:rsidR="00A00619" w:rsidRPr="00A00619">
        <w:rPr>
          <w:i/>
        </w:rPr>
        <w:t>LEV</w:t>
      </w:r>
      <w:r>
        <w:t>.</w:t>
      </w:r>
      <w:r w:rsidR="00D761C2">
        <w:rPr>
          <w:rStyle w:val="FootnoteReference"/>
        </w:rPr>
        <w:footnoteReference w:id="6"/>
      </w:r>
      <w:r>
        <w:t xml:space="preserve">  The mean leverage measures are fairly similar but the standard deviations of the three fair value measures are at least four times greater than that of the other more amortized cost based measures. </w:t>
      </w:r>
    </w:p>
    <w:p w:rsidR="00981915" w:rsidRDefault="00981915" w:rsidP="00E118FB">
      <w:pPr>
        <w:pStyle w:val="NormalWeb"/>
        <w:spacing w:before="0" w:beforeAutospacing="0" w:after="0" w:afterAutospacing="0" w:line="480" w:lineRule="auto"/>
        <w:ind w:firstLine="720"/>
      </w:pPr>
    </w:p>
    <w:p w:rsidR="00A75147" w:rsidRPr="00733E3F" w:rsidRDefault="00733E3F" w:rsidP="00733E3F">
      <w:pPr>
        <w:pStyle w:val="BodyTextIndent"/>
        <w:numPr>
          <w:ilvl w:val="0"/>
          <w:numId w:val="2"/>
        </w:numPr>
        <w:jc w:val="center"/>
        <w:rPr>
          <w:b/>
          <w:bCs/>
        </w:rPr>
      </w:pPr>
      <w:r w:rsidRPr="00733E3F">
        <w:rPr>
          <w:b/>
          <w:bCs/>
        </w:rPr>
        <w:t xml:space="preserve">TESTS </w:t>
      </w:r>
    </w:p>
    <w:p w:rsidR="003B0086" w:rsidRDefault="007B5196" w:rsidP="00351965">
      <w:pPr>
        <w:pStyle w:val="BodyTextIndent"/>
        <w:rPr>
          <w:bCs/>
        </w:rPr>
      </w:pPr>
      <w:r>
        <w:rPr>
          <w:bCs/>
        </w:rPr>
        <w:t xml:space="preserve">To test </w:t>
      </w:r>
      <w:r w:rsidR="00833023">
        <w:rPr>
          <w:bCs/>
        </w:rPr>
        <w:t>whether</w:t>
      </w:r>
      <w:r w:rsidR="00D20932">
        <w:rPr>
          <w:bCs/>
        </w:rPr>
        <w:t xml:space="preserve"> fair values i</w:t>
      </w:r>
      <w:r w:rsidR="00833023">
        <w:rPr>
          <w:bCs/>
        </w:rPr>
        <w:t>mprove the ability of bank leverage ratios to inform on credit risk</w:t>
      </w:r>
      <w:r w:rsidR="00D20932">
        <w:rPr>
          <w:bCs/>
        </w:rPr>
        <w:t>, we first investigate the informativeness of full fair value leverage</w:t>
      </w:r>
      <w:r w:rsidR="00F9054B">
        <w:rPr>
          <w:bCs/>
        </w:rPr>
        <w:t xml:space="preserve"> relative to the </w:t>
      </w:r>
      <w:r w:rsidR="00442AB2">
        <w:rPr>
          <w:bCs/>
        </w:rPr>
        <w:t xml:space="preserve">informativeness of </w:t>
      </w:r>
      <w:r w:rsidR="00F9054B">
        <w:rPr>
          <w:bCs/>
        </w:rPr>
        <w:t>two key leverage ratios that are most readily available and relied on: GAAP</w:t>
      </w:r>
      <w:r w:rsidR="00F9054B" w:rsidRPr="00F9054B">
        <w:rPr>
          <w:bCs/>
          <w:i/>
        </w:rPr>
        <w:t>LEV</w:t>
      </w:r>
      <w:r w:rsidR="00F9054B">
        <w:rPr>
          <w:bCs/>
        </w:rPr>
        <w:t xml:space="preserve"> and TIER1</w:t>
      </w:r>
      <w:r w:rsidR="00F9054B" w:rsidRPr="00F9054B">
        <w:rPr>
          <w:bCs/>
          <w:i/>
        </w:rPr>
        <w:t>LEV</w:t>
      </w:r>
      <w:r w:rsidR="00F9054B">
        <w:rPr>
          <w:bCs/>
        </w:rPr>
        <w:t xml:space="preserve">.  </w:t>
      </w:r>
      <w:r w:rsidR="009143A6">
        <w:rPr>
          <w:bCs/>
        </w:rPr>
        <w:t>W</w:t>
      </w:r>
      <w:r w:rsidR="00351965">
        <w:rPr>
          <w:bCs/>
        </w:rPr>
        <w:t xml:space="preserve">e </w:t>
      </w:r>
      <w:r w:rsidR="00442AB2">
        <w:rPr>
          <w:bCs/>
        </w:rPr>
        <w:t xml:space="preserve">calculate bank-specific Pearson correlations over our sample period </w:t>
      </w:r>
      <w:r w:rsidR="00833023">
        <w:rPr>
          <w:bCs/>
        </w:rPr>
        <w:t>for</w:t>
      </w:r>
      <w:r w:rsidR="00442AB2">
        <w:rPr>
          <w:bCs/>
        </w:rPr>
        <w:t xml:space="preserve"> GAAP</w:t>
      </w:r>
      <w:r w:rsidR="00442AB2" w:rsidRPr="00F9054B">
        <w:rPr>
          <w:bCs/>
          <w:i/>
        </w:rPr>
        <w:t>LEV</w:t>
      </w:r>
      <w:r w:rsidR="00442AB2">
        <w:rPr>
          <w:bCs/>
          <w:i/>
        </w:rPr>
        <w:t>,</w:t>
      </w:r>
      <w:r w:rsidR="00442AB2">
        <w:rPr>
          <w:bCs/>
        </w:rPr>
        <w:t xml:space="preserve"> TIER1</w:t>
      </w:r>
      <w:r w:rsidR="00442AB2" w:rsidRPr="00F9054B">
        <w:rPr>
          <w:bCs/>
          <w:i/>
        </w:rPr>
        <w:t>LEV</w:t>
      </w:r>
      <w:r w:rsidR="00442AB2">
        <w:rPr>
          <w:bCs/>
          <w:i/>
        </w:rPr>
        <w:t xml:space="preserve">, </w:t>
      </w:r>
      <w:r w:rsidR="00442AB2" w:rsidRPr="00442AB2">
        <w:rPr>
          <w:bCs/>
        </w:rPr>
        <w:t xml:space="preserve">and </w:t>
      </w:r>
      <w:r w:rsidR="00442AB2">
        <w:rPr>
          <w:bCs/>
        </w:rPr>
        <w:t>FV</w:t>
      </w:r>
      <w:r w:rsidR="00442AB2" w:rsidRPr="00A74C0E">
        <w:rPr>
          <w:bCs/>
          <w:i/>
        </w:rPr>
        <w:t>LEV</w:t>
      </w:r>
      <w:r w:rsidR="00833023">
        <w:rPr>
          <w:bCs/>
          <w:i/>
        </w:rPr>
        <w:t xml:space="preserve"> </w:t>
      </w:r>
      <w:r w:rsidR="00833023">
        <w:rPr>
          <w:bCs/>
        </w:rPr>
        <w:t>with TED.</w:t>
      </w:r>
      <w:r w:rsidR="00351965">
        <w:rPr>
          <w:bCs/>
        </w:rPr>
        <w:t xml:space="preserve">  </w:t>
      </w:r>
      <w:r w:rsidR="00A00619">
        <w:rPr>
          <w:bCs/>
        </w:rPr>
        <w:t>A</w:t>
      </w:r>
      <w:r w:rsidR="00351965">
        <w:rPr>
          <w:bCs/>
        </w:rPr>
        <w:t>s we report in Table 1</w:t>
      </w:r>
      <w:r w:rsidR="00A00619">
        <w:rPr>
          <w:bCs/>
        </w:rPr>
        <w:t>,</w:t>
      </w:r>
      <w:r w:rsidR="00351965">
        <w:rPr>
          <w:bCs/>
        </w:rPr>
        <w:t xml:space="preserve"> our average bank holding company has 8.3 years of data in our sample for estimating the bank-specific correlations.   </w:t>
      </w:r>
    </w:p>
    <w:p w:rsidR="002A09DC" w:rsidRDefault="00351965" w:rsidP="00351965">
      <w:pPr>
        <w:pStyle w:val="BodyTextIndent"/>
        <w:rPr>
          <w:bCs/>
        </w:rPr>
      </w:pPr>
      <w:r>
        <w:rPr>
          <w:bCs/>
        </w:rPr>
        <w:t xml:space="preserve">In </w:t>
      </w:r>
      <w:r w:rsidR="009143A6">
        <w:rPr>
          <w:bCs/>
        </w:rPr>
        <w:t xml:space="preserve">the first three rows of </w:t>
      </w:r>
      <w:r>
        <w:rPr>
          <w:bCs/>
        </w:rPr>
        <w:t>Table 2 Panel A we report the distribution of the</w:t>
      </w:r>
      <w:r w:rsidR="00A00619">
        <w:rPr>
          <w:bCs/>
        </w:rPr>
        <w:t>se three</w:t>
      </w:r>
      <w:r>
        <w:rPr>
          <w:bCs/>
        </w:rPr>
        <w:t xml:space="preserve"> correlation</w:t>
      </w:r>
      <w:r w:rsidR="00833023">
        <w:rPr>
          <w:bCs/>
        </w:rPr>
        <w:t xml:space="preserve"> coefficients</w:t>
      </w:r>
      <w:r>
        <w:rPr>
          <w:bCs/>
        </w:rPr>
        <w:t xml:space="preserve">.  </w:t>
      </w:r>
      <w:r w:rsidR="009143A6">
        <w:rPr>
          <w:bCs/>
        </w:rPr>
        <w:t>Contrary to expectations, the mean (median) correlation coefficient between TIER1</w:t>
      </w:r>
      <w:r w:rsidR="009143A6" w:rsidRPr="00A74C0E">
        <w:rPr>
          <w:bCs/>
          <w:i/>
        </w:rPr>
        <w:t>LEV</w:t>
      </w:r>
      <w:r w:rsidR="009143A6">
        <w:rPr>
          <w:bCs/>
        </w:rPr>
        <w:t xml:space="preserve"> and TED is -0.04 (-0.09). </w:t>
      </w:r>
      <w:r w:rsidR="00A00619">
        <w:rPr>
          <w:bCs/>
        </w:rPr>
        <w:t>The lack of a significantly positive mean correlation coefficient</w:t>
      </w:r>
      <w:r w:rsidR="009143A6">
        <w:rPr>
          <w:bCs/>
        </w:rPr>
        <w:t xml:space="preserve"> suggests that one of the primary ratios used by </w:t>
      </w:r>
      <w:r w:rsidR="009143A6">
        <w:rPr>
          <w:bCs/>
        </w:rPr>
        <w:lastRenderedPageBreak/>
        <w:t>regulators to monitor bank risk doesn’t timely reflect credit risk within the banking industry.  The mean (median) correlation coefficient for GAAP</w:t>
      </w:r>
      <w:r w:rsidR="009143A6" w:rsidRPr="00A74C0E">
        <w:rPr>
          <w:bCs/>
          <w:i/>
        </w:rPr>
        <w:t>LEV</w:t>
      </w:r>
      <w:r w:rsidR="009143A6">
        <w:rPr>
          <w:bCs/>
        </w:rPr>
        <w:t xml:space="preserve"> </w:t>
      </w:r>
      <w:r w:rsidR="00563F0D">
        <w:rPr>
          <w:bCs/>
        </w:rPr>
        <w:t xml:space="preserve">and TED </w:t>
      </w:r>
      <w:r w:rsidR="009143A6">
        <w:rPr>
          <w:bCs/>
        </w:rPr>
        <w:t xml:space="preserve">is 0.04 (0.01), which is significantly positive but quite small in magnitude.  </w:t>
      </w:r>
      <w:r w:rsidR="002A09DC">
        <w:rPr>
          <w:bCs/>
        </w:rPr>
        <w:t xml:space="preserve">Panel B, which reports paired sample </w:t>
      </w:r>
      <w:r w:rsidR="009E41BF">
        <w:rPr>
          <w:bCs/>
        </w:rPr>
        <w:t>t</w:t>
      </w:r>
      <w:r w:rsidR="002A09DC">
        <w:rPr>
          <w:bCs/>
        </w:rPr>
        <w:t>-</w:t>
      </w:r>
      <w:r w:rsidR="009E41BF">
        <w:rPr>
          <w:bCs/>
        </w:rPr>
        <w:t>t</w:t>
      </w:r>
      <w:r w:rsidR="002A09DC">
        <w:rPr>
          <w:bCs/>
        </w:rPr>
        <w:t>ests of the differences in the mean correlations reported in Panel A, demonstrates that the relation between GAAP</w:t>
      </w:r>
      <w:r w:rsidR="002A09DC" w:rsidRPr="00A74C0E">
        <w:rPr>
          <w:bCs/>
          <w:i/>
        </w:rPr>
        <w:t>LEV</w:t>
      </w:r>
      <w:r w:rsidR="002A09DC">
        <w:rPr>
          <w:bCs/>
        </w:rPr>
        <w:t xml:space="preserve"> and TED is statistically stronger than the relation between TIER1</w:t>
      </w:r>
      <w:r w:rsidR="002A09DC" w:rsidRPr="00A74C0E">
        <w:rPr>
          <w:bCs/>
          <w:i/>
        </w:rPr>
        <w:t>LEV</w:t>
      </w:r>
      <w:r w:rsidR="002A09DC">
        <w:rPr>
          <w:bCs/>
        </w:rPr>
        <w:t xml:space="preserve"> and TED</w:t>
      </w:r>
      <w:r w:rsidR="00EE700B">
        <w:rPr>
          <w:bCs/>
        </w:rPr>
        <w:t xml:space="preserve"> (p&lt;0.001)</w:t>
      </w:r>
      <w:r w:rsidR="002A09DC">
        <w:rPr>
          <w:bCs/>
        </w:rPr>
        <w:t>.  This suggests that the adjustments that bank regulators do to the GAAP reported numbers to calculate Tier 1 capital reduce</w:t>
      </w:r>
      <w:r w:rsidR="00EE700B">
        <w:rPr>
          <w:bCs/>
        </w:rPr>
        <w:t xml:space="preserve"> rather than improve</w:t>
      </w:r>
      <w:r w:rsidR="002A09DC">
        <w:rPr>
          <w:bCs/>
        </w:rPr>
        <w:t xml:space="preserve"> the informativeness of the ratio.  </w:t>
      </w:r>
    </w:p>
    <w:p w:rsidR="00563F0D" w:rsidRDefault="009143A6" w:rsidP="00351965">
      <w:pPr>
        <w:pStyle w:val="BodyTextIndent"/>
        <w:rPr>
          <w:bCs/>
        </w:rPr>
      </w:pPr>
      <w:r>
        <w:rPr>
          <w:bCs/>
        </w:rPr>
        <w:t>Strikingly, t</w:t>
      </w:r>
      <w:r w:rsidR="00351965">
        <w:rPr>
          <w:bCs/>
        </w:rPr>
        <w:t>he mean (m</w:t>
      </w:r>
      <w:r w:rsidR="00563F0D">
        <w:rPr>
          <w:bCs/>
        </w:rPr>
        <w:t>edian) correlation coefficient between</w:t>
      </w:r>
      <w:r w:rsidR="00351965">
        <w:rPr>
          <w:bCs/>
        </w:rPr>
        <w:t xml:space="preserve"> FV</w:t>
      </w:r>
      <w:r w:rsidR="00351965" w:rsidRPr="00A74C0E">
        <w:rPr>
          <w:bCs/>
          <w:i/>
        </w:rPr>
        <w:t>LEV</w:t>
      </w:r>
      <w:r w:rsidR="00351965">
        <w:rPr>
          <w:bCs/>
        </w:rPr>
        <w:t xml:space="preserve"> </w:t>
      </w:r>
      <w:r w:rsidR="00563F0D">
        <w:rPr>
          <w:bCs/>
        </w:rPr>
        <w:t>and TED is</w:t>
      </w:r>
      <w:r w:rsidR="00351965">
        <w:rPr>
          <w:bCs/>
        </w:rPr>
        <w:t xml:space="preserve"> 0.25 (0.31)</w:t>
      </w:r>
      <w:r w:rsidR="00563F0D">
        <w:rPr>
          <w:bCs/>
        </w:rPr>
        <w:t xml:space="preserve">, which </w:t>
      </w:r>
      <w:r w:rsidR="00351965">
        <w:rPr>
          <w:bCs/>
        </w:rPr>
        <w:t xml:space="preserve">is </w:t>
      </w:r>
      <w:r w:rsidR="00563F0D">
        <w:rPr>
          <w:bCs/>
        </w:rPr>
        <w:t xml:space="preserve">over seven times larger than </w:t>
      </w:r>
      <w:r w:rsidR="00744E63">
        <w:rPr>
          <w:bCs/>
        </w:rPr>
        <w:t>the correlation coefficient between</w:t>
      </w:r>
      <w:r w:rsidR="00563F0D">
        <w:rPr>
          <w:bCs/>
        </w:rPr>
        <w:t xml:space="preserve"> GAAP</w:t>
      </w:r>
      <w:r w:rsidR="00563F0D" w:rsidRPr="00A74C0E">
        <w:rPr>
          <w:bCs/>
          <w:i/>
        </w:rPr>
        <w:t>LEV</w:t>
      </w:r>
      <w:r w:rsidR="00744E63" w:rsidRPr="00744E63">
        <w:rPr>
          <w:bCs/>
        </w:rPr>
        <w:t xml:space="preserve"> and TED</w:t>
      </w:r>
      <w:r w:rsidR="00744E63">
        <w:rPr>
          <w:bCs/>
          <w:i/>
        </w:rPr>
        <w:t>.</w:t>
      </w:r>
      <w:r w:rsidR="00563F0D">
        <w:rPr>
          <w:bCs/>
          <w:i/>
        </w:rPr>
        <w:t xml:space="preserve">  </w:t>
      </w:r>
      <w:r w:rsidR="002A09DC">
        <w:rPr>
          <w:bCs/>
        </w:rPr>
        <w:t xml:space="preserve">As reported in </w:t>
      </w:r>
      <w:r w:rsidR="00351965">
        <w:rPr>
          <w:bCs/>
        </w:rPr>
        <w:t>Panel B</w:t>
      </w:r>
      <w:r w:rsidR="00563F0D">
        <w:rPr>
          <w:bCs/>
        </w:rPr>
        <w:t xml:space="preserve"> </w:t>
      </w:r>
      <w:r w:rsidR="002A09DC">
        <w:rPr>
          <w:bCs/>
        </w:rPr>
        <w:t xml:space="preserve">this difference is highly significant </w:t>
      </w:r>
      <w:r w:rsidR="00351965">
        <w:rPr>
          <w:bCs/>
        </w:rPr>
        <w:t xml:space="preserve">(p&lt;0.001).  </w:t>
      </w:r>
      <w:r w:rsidR="00563F0D">
        <w:rPr>
          <w:bCs/>
        </w:rPr>
        <w:t xml:space="preserve">These results suggest that </w:t>
      </w:r>
      <w:r w:rsidR="002A09DC">
        <w:rPr>
          <w:bCs/>
        </w:rPr>
        <w:t xml:space="preserve">using </w:t>
      </w:r>
      <w:r w:rsidR="00563F0D">
        <w:rPr>
          <w:bCs/>
        </w:rPr>
        <w:t xml:space="preserve">full fair values </w:t>
      </w:r>
      <w:r w:rsidR="002A09DC">
        <w:rPr>
          <w:bCs/>
        </w:rPr>
        <w:t xml:space="preserve">at the bank level </w:t>
      </w:r>
      <w:r w:rsidR="00563F0D">
        <w:rPr>
          <w:bCs/>
        </w:rPr>
        <w:t>are</w:t>
      </w:r>
      <w:r w:rsidR="00744E63">
        <w:rPr>
          <w:bCs/>
        </w:rPr>
        <w:t xml:space="preserve"> more</w:t>
      </w:r>
      <w:r w:rsidR="00563F0D">
        <w:rPr>
          <w:bCs/>
        </w:rPr>
        <w:t xml:space="preserve"> useful in identifying </w:t>
      </w:r>
      <w:r w:rsidR="00744E63">
        <w:rPr>
          <w:bCs/>
        </w:rPr>
        <w:t xml:space="preserve">industry wide </w:t>
      </w:r>
      <w:r w:rsidR="002A09DC">
        <w:rPr>
          <w:bCs/>
        </w:rPr>
        <w:t>credit risk</w:t>
      </w:r>
      <w:r w:rsidR="00744E63">
        <w:rPr>
          <w:bCs/>
        </w:rPr>
        <w:t xml:space="preserve"> than the two most commonly used metrics</w:t>
      </w:r>
      <w:r w:rsidR="002A09DC">
        <w:rPr>
          <w:bCs/>
        </w:rPr>
        <w:t>.</w:t>
      </w:r>
    </w:p>
    <w:p w:rsidR="00436401" w:rsidRDefault="00EE700B" w:rsidP="00351965">
      <w:pPr>
        <w:pStyle w:val="BodyTextIndent"/>
        <w:rPr>
          <w:bCs/>
        </w:rPr>
      </w:pPr>
      <w:r>
        <w:rPr>
          <w:bCs/>
        </w:rPr>
        <w:t>Given that FV</w:t>
      </w:r>
      <w:r w:rsidRPr="00A74C0E">
        <w:rPr>
          <w:bCs/>
          <w:i/>
        </w:rPr>
        <w:t>LEV</w:t>
      </w:r>
      <w:r>
        <w:rPr>
          <w:bCs/>
        </w:rPr>
        <w:t xml:space="preserve"> appears to be most informative </w:t>
      </w:r>
      <w:r w:rsidR="00130B85">
        <w:rPr>
          <w:bCs/>
        </w:rPr>
        <w:t>on credit risk</w:t>
      </w:r>
      <w:r>
        <w:rPr>
          <w:bCs/>
        </w:rPr>
        <w:t xml:space="preserve"> we next investigate which components of FV</w:t>
      </w:r>
      <w:r w:rsidRPr="00A74C0E">
        <w:rPr>
          <w:bCs/>
          <w:i/>
        </w:rPr>
        <w:t>LEV</w:t>
      </w:r>
      <w:r w:rsidR="00CB3F04">
        <w:rPr>
          <w:bCs/>
        </w:rPr>
        <w:t xml:space="preserve"> play a critical role.  Accordingly, we compare the mean correlation coefficient</w:t>
      </w:r>
      <w:r w:rsidR="00436401">
        <w:rPr>
          <w:bCs/>
        </w:rPr>
        <w:t>s</w:t>
      </w:r>
      <w:r w:rsidR="00CB3F04">
        <w:rPr>
          <w:bCs/>
        </w:rPr>
        <w:t xml:space="preserve"> between FV</w:t>
      </w:r>
      <w:r w:rsidR="00CB3F04" w:rsidRPr="00A74C0E">
        <w:rPr>
          <w:bCs/>
          <w:i/>
        </w:rPr>
        <w:t>LEV</w:t>
      </w:r>
      <w:r w:rsidR="00CB3F04">
        <w:rPr>
          <w:bCs/>
          <w:i/>
        </w:rPr>
        <w:t>,</w:t>
      </w:r>
      <w:r w:rsidR="00CB3F04">
        <w:rPr>
          <w:bCs/>
        </w:rPr>
        <w:t xml:space="preserve"> FVASSET</w:t>
      </w:r>
      <w:r w:rsidR="00CB3F04" w:rsidRPr="007005E7">
        <w:rPr>
          <w:bCs/>
          <w:i/>
        </w:rPr>
        <w:t>LEV</w:t>
      </w:r>
      <w:r w:rsidR="00CB3F04">
        <w:rPr>
          <w:bCs/>
          <w:i/>
        </w:rPr>
        <w:t>,</w:t>
      </w:r>
      <w:r w:rsidR="00CB3F04">
        <w:rPr>
          <w:bCs/>
        </w:rPr>
        <w:t xml:space="preserve"> and FVLIAB</w:t>
      </w:r>
      <w:r w:rsidR="00CB3F04" w:rsidRPr="007005E7">
        <w:rPr>
          <w:bCs/>
          <w:i/>
        </w:rPr>
        <w:t>LEV</w:t>
      </w:r>
      <w:r w:rsidR="00CB3F04">
        <w:rPr>
          <w:bCs/>
        </w:rPr>
        <w:t xml:space="preserve"> </w:t>
      </w:r>
      <w:r w:rsidR="00833023">
        <w:rPr>
          <w:bCs/>
        </w:rPr>
        <w:t>with</w:t>
      </w:r>
      <w:r w:rsidR="00CB3F04">
        <w:rPr>
          <w:bCs/>
        </w:rPr>
        <w:t xml:space="preserve"> TED</w:t>
      </w:r>
      <w:r w:rsidR="00436401">
        <w:rPr>
          <w:bCs/>
        </w:rPr>
        <w:t xml:space="preserve">.  As shown in Table 2 Panel A, </w:t>
      </w:r>
      <w:r w:rsidR="00351965">
        <w:rPr>
          <w:bCs/>
        </w:rPr>
        <w:t>FVASSET</w:t>
      </w:r>
      <w:r w:rsidR="00351965" w:rsidRPr="007005E7">
        <w:rPr>
          <w:bCs/>
          <w:i/>
        </w:rPr>
        <w:t>LEV</w:t>
      </w:r>
      <w:r w:rsidR="00351965">
        <w:rPr>
          <w:bCs/>
        </w:rPr>
        <w:t xml:space="preserve"> has </w:t>
      </w:r>
      <w:r w:rsidR="00436401">
        <w:rPr>
          <w:bCs/>
        </w:rPr>
        <w:t xml:space="preserve">a </w:t>
      </w:r>
      <w:r w:rsidR="003B0086">
        <w:rPr>
          <w:bCs/>
        </w:rPr>
        <w:t xml:space="preserve">mean </w:t>
      </w:r>
      <w:r w:rsidR="00351965">
        <w:rPr>
          <w:bCs/>
        </w:rPr>
        <w:t xml:space="preserve">correlation coefficient </w:t>
      </w:r>
      <w:r w:rsidR="003B0086">
        <w:rPr>
          <w:bCs/>
        </w:rPr>
        <w:t>of 0.22</w:t>
      </w:r>
      <w:r w:rsidR="00436401">
        <w:rPr>
          <w:bCs/>
        </w:rPr>
        <w:t xml:space="preserve"> and</w:t>
      </w:r>
      <w:r w:rsidR="00351965">
        <w:rPr>
          <w:bCs/>
        </w:rPr>
        <w:t xml:space="preserve"> FVLIAB</w:t>
      </w:r>
      <w:r w:rsidR="00351965" w:rsidRPr="007005E7">
        <w:rPr>
          <w:bCs/>
          <w:i/>
        </w:rPr>
        <w:t>LEV</w:t>
      </w:r>
      <w:r w:rsidR="003B0086">
        <w:rPr>
          <w:bCs/>
        </w:rPr>
        <w:t xml:space="preserve"> </w:t>
      </w:r>
      <w:r w:rsidR="00436401">
        <w:rPr>
          <w:bCs/>
        </w:rPr>
        <w:t>has</w:t>
      </w:r>
      <w:r w:rsidR="003B0086">
        <w:rPr>
          <w:bCs/>
        </w:rPr>
        <w:t xml:space="preserve"> a mean </w:t>
      </w:r>
      <w:r w:rsidR="00130B85">
        <w:rPr>
          <w:bCs/>
        </w:rPr>
        <w:t xml:space="preserve">correlation coefficient of </w:t>
      </w:r>
      <w:r w:rsidR="003B0086">
        <w:rPr>
          <w:bCs/>
        </w:rPr>
        <w:t>0</w:t>
      </w:r>
      <w:r w:rsidR="00130B85">
        <w:rPr>
          <w:bCs/>
        </w:rPr>
        <w:t>.</w:t>
      </w:r>
      <w:r w:rsidR="003B0086">
        <w:rPr>
          <w:bCs/>
        </w:rPr>
        <w:t>15</w:t>
      </w:r>
      <w:r w:rsidR="00130B85">
        <w:rPr>
          <w:bCs/>
        </w:rPr>
        <w:t xml:space="preserve">, </w:t>
      </w:r>
      <w:r w:rsidR="00A00619">
        <w:rPr>
          <w:bCs/>
        </w:rPr>
        <w:t>which are</w:t>
      </w:r>
      <w:r w:rsidR="00130B85">
        <w:rPr>
          <w:bCs/>
        </w:rPr>
        <w:t xml:space="preserve"> both significantly different from zero</w:t>
      </w:r>
      <w:r w:rsidR="003B0086">
        <w:rPr>
          <w:bCs/>
        </w:rPr>
        <w:t>.</w:t>
      </w:r>
      <w:r w:rsidR="00351965">
        <w:rPr>
          <w:bCs/>
        </w:rPr>
        <w:t xml:space="preserve">  </w:t>
      </w:r>
      <w:r w:rsidR="00A00619">
        <w:rPr>
          <w:bCs/>
        </w:rPr>
        <w:t>A</w:t>
      </w:r>
      <w:r w:rsidR="00436401">
        <w:rPr>
          <w:bCs/>
        </w:rPr>
        <w:t>s reported in Panel B, both of these correlation coefficients are statistically smaller than that of FV</w:t>
      </w:r>
      <w:r w:rsidR="00436401" w:rsidRPr="00436401">
        <w:rPr>
          <w:bCs/>
          <w:i/>
        </w:rPr>
        <w:t>LEV</w:t>
      </w:r>
      <w:r w:rsidR="00436401">
        <w:rPr>
          <w:bCs/>
          <w:i/>
        </w:rPr>
        <w:t xml:space="preserve"> </w:t>
      </w:r>
      <w:r w:rsidR="00436401">
        <w:rPr>
          <w:bCs/>
        </w:rPr>
        <w:t xml:space="preserve">(p&lt;0.001), indicating that full fair value is the most informative.  </w:t>
      </w:r>
    </w:p>
    <w:p w:rsidR="00436401" w:rsidRDefault="00833023" w:rsidP="00351965">
      <w:pPr>
        <w:pStyle w:val="BodyTextIndent"/>
        <w:rPr>
          <w:bCs/>
        </w:rPr>
      </w:pPr>
      <w:r>
        <w:rPr>
          <w:bCs/>
        </w:rPr>
        <w:t>T</w:t>
      </w:r>
      <w:r w:rsidR="00351965">
        <w:rPr>
          <w:bCs/>
        </w:rPr>
        <w:t>he gap between FVASSET</w:t>
      </w:r>
      <w:r w:rsidR="00351965" w:rsidRPr="007005E7">
        <w:rPr>
          <w:bCs/>
          <w:i/>
        </w:rPr>
        <w:t>LEV</w:t>
      </w:r>
      <w:r w:rsidR="00351965">
        <w:rPr>
          <w:bCs/>
        </w:rPr>
        <w:t xml:space="preserve"> and FVLIAB</w:t>
      </w:r>
      <w:r w:rsidR="00351965" w:rsidRPr="007005E7">
        <w:rPr>
          <w:bCs/>
          <w:i/>
        </w:rPr>
        <w:t>LEV</w:t>
      </w:r>
      <w:r w:rsidR="00351965">
        <w:rPr>
          <w:bCs/>
        </w:rPr>
        <w:t xml:space="preserve"> is significantly different from zero (p&lt;0.001) </w:t>
      </w:r>
      <w:r w:rsidR="003B0086">
        <w:rPr>
          <w:bCs/>
        </w:rPr>
        <w:t>and the correlation coefficient for FVASSET</w:t>
      </w:r>
      <w:r w:rsidR="003B0086" w:rsidRPr="007005E7">
        <w:rPr>
          <w:bCs/>
          <w:i/>
        </w:rPr>
        <w:t>LEV</w:t>
      </w:r>
      <w:r w:rsidR="003B0086">
        <w:rPr>
          <w:bCs/>
        </w:rPr>
        <w:t xml:space="preserve"> is 40% bigger than the </w:t>
      </w:r>
      <w:r w:rsidR="003B0086">
        <w:rPr>
          <w:bCs/>
        </w:rPr>
        <w:lastRenderedPageBreak/>
        <w:t>coefficient on FVLIAB</w:t>
      </w:r>
      <w:r w:rsidR="003B0086" w:rsidRPr="007005E7">
        <w:rPr>
          <w:bCs/>
          <w:i/>
        </w:rPr>
        <w:t>LEV</w:t>
      </w:r>
      <w:r w:rsidR="003B0086">
        <w:rPr>
          <w:bCs/>
          <w:i/>
        </w:rPr>
        <w:t>.</w:t>
      </w:r>
      <w:r w:rsidR="003B0086">
        <w:rPr>
          <w:bCs/>
        </w:rPr>
        <w:t xml:space="preserve"> This suggests</w:t>
      </w:r>
      <w:r w:rsidR="00351965">
        <w:rPr>
          <w:bCs/>
        </w:rPr>
        <w:t xml:space="preserve"> that the fair values of financial instruments that are assets and liabilities both inform on credit risk but the fair values of assets are more informative than the fair values of liabilities.  </w:t>
      </w:r>
    </w:p>
    <w:p w:rsidR="00351965" w:rsidRDefault="00031662" w:rsidP="00351965">
      <w:pPr>
        <w:pStyle w:val="BodyTextIndent"/>
        <w:rPr>
          <w:bCs/>
        </w:rPr>
      </w:pPr>
      <w:r>
        <w:rPr>
          <w:bCs/>
        </w:rPr>
        <w:t xml:space="preserve">It is not surprising that the fair values of </w:t>
      </w:r>
      <w:r w:rsidR="0022647B">
        <w:rPr>
          <w:bCs/>
        </w:rPr>
        <w:t>liabilities</w:t>
      </w:r>
      <w:r>
        <w:rPr>
          <w:bCs/>
        </w:rPr>
        <w:t xml:space="preserve"> are</w:t>
      </w:r>
      <w:r w:rsidR="0022647B">
        <w:rPr>
          <w:bCs/>
        </w:rPr>
        <w:t xml:space="preserve"> not as</w:t>
      </w:r>
      <w:r>
        <w:rPr>
          <w:bCs/>
        </w:rPr>
        <w:t xml:space="preserve"> informative</w:t>
      </w:r>
      <w:r w:rsidR="0022647B">
        <w:rPr>
          <w:bCs/>
        </w:rPr>
        <w:t xml:space="preserve"> as the fair values of assets</w:t>
      </w:r>
      <w:r>
        <w:rPr>
          <w:bCs/>
        </w:rPr>
        <w:t xml:space="preserve"> given that the largest liability for a bank is the deposits</w:t>
      </w:r>
      <w:r w:rsidR="0094092F">
        <w:rPr>
          <w:bCs/>
        </w:rPr>
        <w:t xml:space="preserve"> (deposits for the average sample bank are</w:t>
      </w:r>
      <w:r w:rsidR="0022647B">
        <w:rPr>
          <w:bCs/>
        </w:rPr>
        <w:t xml:space="preserve"> 86</w:t>
      </w:r>
      <w:r w:rsidR="0094092F">
        <w:rPr>
          <w:bCs/>
        </w:rPr>
        <w:t>% of total liabilities)</w:t>
      </w:r>
      <w:r>
        <w:rPr>
          <w:bCs/>
        </w:rPr>
        <w:t xml:space="preserve"> and the fair value and historical cost of deposits do not differ near as much as</w:t>
      </w:r>
      <w:r w:rsidR="0094092F">
        <w:rPr>
          <w:bCs/>
        </w:rPr>
        <w:t xml:space="preserve"> that of loans</w:t>
      </w:r>
      <w:r w:rsidR="003B0086">
        <w:rPr>
          <w:bCs/>
        </w:rPr>
        <w:t>, which is the largest asset of banks</w:t>
      </w:r>
      <w:r>
        <w:rPr>
          <w:bCs/>
        </w:rPr>
        <w:t>.</w:t>
      </w:r>
      <w:r w:rsidR="0094092F">
        <w:rPr>
          <w:bCs/>
        </w:rPr>
        <w:t xml:space="preserve">  In fact, for non-term </w:t>
      </w:r>
      <w:r w:rsidR="00BF7AFE">
        <w:rPr>
          <w:bCs/>
        </w:rPr>
        <w:t xml:space="preserve">non-foreign </w:t>
      </w:r>
      <w:r w:rsidR="0094092F">
        <w:rPr>
          <w:bCs/>
        </w:rPr>
        <w:t xml:space="preserve">deposits, which make up </w:t>
      </w:r>
      <w:r w:rsidR="00BF7AFE">
        <w:rPr>
          <w:bCs/>
        </w:rPr>
        <w:t>56%</w:t>
      </w:r>
      <w:r w:rsidR="0094092F">
        <w:rPr>
          <w:bCs/>
        </w:rPr>
        <w:t xml:space="preserve"> of total deposits</w:t>
      </w:r>
      <w:r w:rsidR="009549CA">
        <w:rPr>
          <w:bCs/>
        </w:rPr>
        <w:t xml:space="preserve"> for our average sample bank</w:t>
      </w:r>
      <w:r w:rsidR="0094092F">
        <w:rPr>
          <w:bCs/>
        </w:rPr>
        <w:t>, fair values are equivalent to historical cost.</w:t>
      </w:r>
      <w:r w:rsidR="00BF7AFE">
        <w:rPr>
          <w:rStyle w:val="FootnoteReference"/>
          <w:bCs/>
        </w:rPr>
        <w:footnoteReference w:id="7"/>
      </w:r>
      <w:r>
        <w:rPr>
          <w:bCs/>
        </w:rPr>
        <w:t xml:space="preserve">  </w:t>
      </w:r>
    </w:p>
    <w:p w:rsidR="00351965" w:rsidRDefault="00351965" w:rsidP="00351965">
      <w:pPr>
        <w:pStyle w:val="BodyTextIndent"/>
        <w:rPr>
          <w:bCs/>
        </w:rPr>
      </w:pPr>
      <w:r>
        <w:rPr>
          <w:bCs/>
        </w:rPr>
        <w:t>Interestingly, the mean correlation coefficient for FVASSET</w:t>
      </w:r>
      <w:r w:rsidRPr="007005E7">
        <w:rPr>
          <w:bCs/>
          <w:i/>
        </w:rPr>
        <w:t>LEV</w:t>
      </w:r>
      <w:r>
        <w:rPr>
          <w:bCs/>
        </w:rPr>
        <w:t xml:space="preserve"> </w:t>
      </w:r>
      <w:r w:rsidR="00833023">
        <w:rPr>
          <w:bCs/>
        </w:rPr>
        <w:t xml:space="preserve">and TED </w:t>
      </w:r>
      <w:r>
        <w:rPr>
          <w:bCs/>
        </w:rPr>
        <w:t xml:space="preserve">is more than five times greater than </w:t>
      </w:r>
      <w:r w:rsidR="00833023">
        <w:rPr>
          <w:bCs/>
        </w:rPr>
        <w:t xml:space="preserve">that of </w:t>
      </w:r>
      <w:r>
        <w:rPr>
          <w:bCs/>
        </w:rPr>
        <w:t>GAAP</w:t>
      </w:r>
      <w:r w:rsidRPr="008517F0">
        <w:rPr>
          <w:bCs/>
          <w:i/>
        </w:rPr>
        <w:t>LEV</w:t>
      </w:r>
      <w:r w:rsidR="00833023">
        <w:rPr>
          <w:bCs/>
        </w:rPr>
        <w:t xml:space="preserve"> and TED</w:t>
      </w:r>
      <w:r>
        <w:rPr>
          <w:bCs/>
        </w:rPr>
        <w:t>.  This suggests that fair valuing of loans is critically important because the primary difference between FVASSET</w:t>
      </w:r>
      <w:r w:rsidRPr="007005E7">
        <w:rPr>
          <w:bCs/>
          <w:i/>
        </w:rPr>
        <w:t>LEV</w:t>
      </w:r>
      <w:r>
        <w:rPr>
          <w:bCs/>
        </w:rPr>
        <w:t xml:space="preserve"> and GAAP</w:t>
      </w:r>
      <w:r w:rsidRPr="008517F0">
        <w:rPr>
          <w:bCs/>
          <w:i/>
        </w:rPr>
        <w:t>LEV</w:t>
      </w:r>
      <w:r>
        <w:rPr>
          <w:bCs/>
        </w:rPr>
        <w:t xml:space="preserve"> is that the fair value of loans is included in FVASSET</w:t>
      </w:r>
      <w:r w:rsidRPr="007005E7">
        <w:rPr>
          <w:bCs/>
          <w:i/>
        </w:rPr>
        <w:t>LEV</w:t>
      </w:r>
      <w:r>
        <w:rPr>
          <w:bCs/>
        </w:rPr>
        <w:t xml:space="preserve"> and not GAAP</w:t>
      </w:r>
      <w:r w:rsidRPr="008517F0">
        <w:rPr>
          <w:bCs/>
          <w:i/>
        </w:rPr>
        <w:t>LEV</w:t>
      </w:r>
      <w:r>
        <w:rPr>
          <w:bCs/>
          <w:i/>
        </w:rPr>
        <w:t>.</w:t>
      </w:r>
      <w:r>
        <w:rPr>
          <w:bCs/>
        </w:rPr>
        <w:t xml:space="preserve">  The likely next biggest difference between FVASSET</w:t>
      </w:r>
      <w:r w:rsidRPr="007005E7">
        <w:rPr>
          <w:bCs/>
          <w:i/>
        </w:rPr>
        <w:t>LEV</w:t>
      </w:r>
      <w:r>
        <w:rPr>
          <w:bCs/>
        </w:rPr>
        <w:t xml:space="preserve"> and GAAP</w:t>
      </w:r>
      <w:r w:rsidRPr="008517F0">
        <w:rPr>
          <w:bCs/>
          <w:i/>
        </w:rPr>
        <w:t>LEV</w:t>
      </w:r>
      <w:r>
        <w:rPr>
          <w:bCs/>
          <w:i/>
        </w:rPr>
        <w:t xml:space="preserve"> </w:t>
      </w:r>
      <w:r>
        <w:rPr>
          <w:bCs/>
        </w:rPr>
        <w:t>is that FVASSET</w:t>
      </w:r>
      <w:r w:rsidRPr="007005E7">
        <w:rPr>
          <w:bCs/>
          <w:i/>
        </w:rPr>
        <w:t>LEV</w:t>
      </w:r>
      <w:r>
        <w:rPr>
          <w:bCs/>
        </w:rPr>
        <w:t xml:space="preserve"> includes the fair value of the held to maturity portfolio while GAAP</w:t>
      </w:r>
      <w:r w:rsidRPr="008517F0">
        <w:rPr>
          <w:bCs/>
          <w:i/>
        </w:rPr>
        <w:t>LEV</w:t>
      </w:r>
      <w:r>
        <w:rPr>
          <w:bCs/>
          <w:i/>
        </w:rPr>
        <w:t xml:space="preserve"> </w:t>
      </w:r>
      <w:r>
        <w:rPr>
          <w:bCs/>
        </w:rPr>
        <w:t>does not.  The held to maturity component however is likely swamped by the loan component given that for our average sample bank the book value of loans is 15 times greater than the book value of the held to maturity portfolio.</w:t>
      </w:r>
    </w:p>
    <w:p w:rsidR="00436401" w:rsidRPr="00DB34C9" w:rsidRDefault="00DB34C9" w:rsidP="00351965">
      <w:pPr>
        <w:pStyle w:val="BodyTextIndent"/>
        <w:rPr>
          <w:bCs/>
        </w:rPr>
      </w:pPr>
      <w:r>
        <w:rPr>
          <w:bCs/>
        </w:rPr>
        <w:t xml:space="preserve">In the bottom row of Table 2 Panel A we report that the correlation </w:t>
      </w:r>
      <w:r w:rsidR="00351965">
        <w:rPr>
          <w:bCs/>
        </w:rPr>
        <w:t>coefficient for HC</w:t>
      </w:r>
      <w:r w:rsidR="00351965" w:rsidRPr="00633A1E">
        <w:rPr>
          <w:bCs/>
          <w:i/>
        </w:rPr>
        <w:t>LEV</w:t>
      </w:r>
      <w:r w:rsidR="00351965">
        <w:rPr>
          <w:bCs/>
        </w:rPr>
        <w:t xml:space="preserve"> </w:t>
      </w:r>
      <w:r>
        <w:rPr>
          <w:bCs/>
        </w:rPr>
        <w:t xml:space="preserve">and TED </w:t>
      </w:r>
      <w:r w:rsidR="00351965">
        <w:rPr>
          <w:bCs/>
        </w:rPr>
        <w:t>is essentially zero</w:t>
      </w:r>
      <w:r>
        <w:rPr>
          <w:bCs/>
        </w:rPr>
        <w:t xml:space="preserve"> and as reported in Panel B </w:t>
      </w:r>
      <w:r w:rsidR="00EB7C08">
        <w:rPr>
          <w:bCs/>
        </w:rPr>
        <w:t>the mean correlation coefficient</w:t>
      </w:r>
      <w:r>
        <w:rPr>
          <w:bCs/>
        </w:rPr>
        <w:t xml:space="preserve"> </w:t>
      </w:r>
      <w:r w:rsidR="00EB7C08">
        <w:rPr>
          <w:bCs/>
        </w:rPr>
        <w:t>between HC</w:t>
      </w:r>
      <w:r w:rsidR="00EB7C08" w:rsidRPr="00633A1E">
        <w:rPr>
          <w:bCs/>
          <w:i/>
        </w:rPr>
        <w:t>LEV</w:t>
      </w:r>
      <w:r w:rsidR="00EB7C08">
        <w:rPr>
          <w:bCs/>
        </w:rPr>
        <w:t xml:space="preserve"> and TED </w:t>
      </w:r>
      <w:r>
        <w:rPr>
          <w:bCs/>
        </w:rPr>
        <w:t>is significantly smaller than the mean correlation coefficient between GAAP</w:t>
      </w:r>
      <w:r w:rsidRPr="00DB34C9">
        <w:rPr>
          <w:bCs/>
          <w:i/>
        </w:rPr>
        <w:t>LEV</w:t>
      </w:r>
      <w:r>
        <w:rPr>
          <w:bCs/>
        </w:rPr>
        <w:t xml:space="preserve"> and TED.  Given that the difference between GAAP</w:t>
      </w:r>
      <w:r w:rsidRPr="00DB34C9">
        <w:rPr>
          <w:bCs/>
          <w:i/>
        </w:rPr>
        <w:t>LEV</w:t>
      </w:r>
      <w:r>
        <w:rPr>
          <w:bCs/>
        </w:rPr>
        <w:t xml:space="preserve"> and HC</w:t>
      </w:r>
      <w:r w:rsidRPr="00633A1E">
        <w:rPr>
          <w:bCs/>
          <w:i/>
        </w:rPr>
        <w:t>LEV</w:t>
      </w:r>
      <w:r>
        <w:rPr>
          <w:bCs/>
        </w:rPr>
        <w:t xml:space="preserve"> is that in GAAP</w:t>
      </w:r>
      <w:r w:rsidRPr="00DB34C9">
        <w:rPr>
          <w:bCs/>
          <w:i/>
        </w:rPr>
        <w:t>LEV</w:t>
      </w:r>
      <w:r>
        <w:rPr>
          <w:bCs/>
        </w:rPr>
        <w:t xml:space="preserve"> available for </w:t>
      </w:r>
      <w:r w:rsidR="009E41BF">
        <w:rPr>
          <w:bCs/>
        </w:rPr>
        <w:t>sale securities are</w:t>
      </w:r>
      <w:r>
        <w:rPr>
          <w:bCs/>
        </w:rPr>
        <w:t xml:space="preserve"> at fair value and in </w:t>
      </w:r>
      <w:r>
        <w:rPr>
          <w:bCs/>
        </w:rPr>
        <w:lastRenderedPageBreak/>
        <w:t>HC</w:t>
      </w:r>
      <w:r w:rsidRPr="00633A1E">
        <w:rPr>
          <w:bCs/>
          <w:i/>
        </w:rPr>
        <w:t>LEV</w:t>
      </w:r>
      <w:r>
        <w:rPr>
          <w:bCs/>
        </w:rPr>
        <w:t xml:space="preserve"> </w:t>
      </w:r>
      <w:r w:rsidR="00EB7C08">
        <w:rPr>
          <w:bCs/>
        </w:rPr>
        <w:t>they are at</w:t>
      </w:r>
      <w:r>
        <w:rPr>
          <w:bCs/>
        </w:rPr>
        <w:t xml:space="preserve"> amortized historical cost, it appears that it is useful to recognize </w:t>
      </w:r>
      <w:r w:rsidR="009E41BF">
        <w:rPr>
          <w:bCs/>
        </w:rPr>
        <w:t>available sale</w:t>
      </w:r>
      <w:r>
        <w:rPr>
          <w:bCs/>
        </w:rPr>
        <w:t xml:space="preserve"> securities at fair value. </w:t>
      </w:r>
    </w:p>
    <w:p w:rsidR="00351965" w:rsidRDefault="00351965" w:rsidP="00351965">
      <w:pPr>
        <w:pStyle w:val="BodyTextIndent"/>
        <w:rPr>
          <w:bCs/>
        </w:rPr>
      </w:pPr>
      <w:r>
        <w:rPr>
          <w:bCs/>
        </w:rPr>
        <w:t xml:space="preserve">Our results thus far suggest that it is useful to recognize the fair value of </w:t>
      </w:r>
      <w:r w:rsidR="00EB7C08">
        <w:rPr>
          <w:bCs/>
        </w:rPr>
        <w:t xml:space="preserve">all </w:t>
      </w:r>
      <w:r>
        <w:rPr>
          <w:bCs/>
        </w:rPr>
        <w:t>financial instruments</w:t>
      </w:r>
      <w:r w:rsidR="00EB7C08">
        <w:rPr>
          <w:bCs/>
        </w:rPr>
        <w:t>,</w:t>
      </w:r>
      <w:r>
        <w:rPr>
          <w:bCs/>
        </w:rPr>
        <w:t xml:space="preserve"> which include loans. But many, including the </w:t>
      </w:r>
      <w:smartTag w:uri="urn:schemas-microsoft-com:office:smarttags" w:element="place">
        <w:smartTag w:uri="urn:schemas-microsoft-com:office:smarttags" w:element="City">
          <w:r>
            <w:rPr>
              <w:bCs/>
            </w:rPr>
            <w:t>ABA</w:t>
          </w:r>
        </w:smartTag>
      </w:smartTag>
      <w:r>
        <w:rPr>
          <w:bCs/>
        </w:rPr>
        <w:t>, assert that if a bank recognizes the fair value of its loans it is important to also recognize the fair value of the core deposit intangible asset (ABA 2006).  The argument is the following.</w:t>
      </w:r>
    </w:p>
    <w:p w:rsidR="00351965" w:rsidRDefault="00351965" w:rsidP="00351965">
      <w:pPr>
        <w:pStyle w:val="BodyTextIndent"/>
        <w:rPr>
          <w:lang w:eastAsia="zh-CN"/>
        </w:rPr>
      </w:pPr>
      <w:r>
        <w:rPr>
          <w:bCs/>
        </w:rPr>
        <w:t xml:space="preserve">The core deposit intangible asset is a non financial asset that reflects the value to a financial institution of its long term depositor relationships (similar to customer lists of a non-financial enterprise).  Value from these relationships arises because a significant proportion of deposits are non-term such as </w:t>
      </w:r>
      <w:r>
        <w:rPr>
          <w:lang w:eastAsia="zh-CN"/>
        </w:rPr>
        <w:t xml:space="preserve">demand and </w:t>
      </w:r>
      <w:r w:rsidRPr="00CF67F0">
        <w:rPr>
          <w:lang w:eastAsia="zh-CN"/>
        </w:rPr>
        <w:t>savings</w:t>
      </w:r>
      <w:r>
        <w:rPr>
          <w:lang w:eastAsia="zh-CN"/>
        </w:rPr>
        <w:t xml:space="preserve"> deposits</w:t>
      </w:r>
      <w:r w:rsidRPr="00257233">
        <w:rPr>
          <w:lang w:eastAsia="zh-CN"/>
        </w:rPr>
        <w:t xml:space="preserve"> </w:t>
      </w:r>
      <w:r>
        <w:rPr>
          <w:lang w:eastAsia="zh-CN"/>
        </w:rPr>
        <w:t xml:space="preserve">that </w:t>
      </w:r>
      <w:r w:rsidRPr="00257233">
        <w:rPr>
          <w:lang w:eastAsia="zh-CN"/>
        </w:rPr>
        <w:t>bear low rates of interest</w:t>
      </w:r>
      <w:r>
        <w:rPr>
          <w:lang w:eastAsia="zh-CN"/>
        </w:rPr>
        <w:t xml:space="preserve"> and as shown by Flannery and James (1984) that are also fairly insensitive to interest rate changes. Therefore, a significant proportion of these funds can be expected to remain on deposit for long periods of time allowing the bank to invest the deposits in higher yielding and longer duration loans.  </w:t>
      </w:r>
    </w:p>
    <w:p w:rsidR="00351965" w:rsidRDefault="00351965" w:rsidP="00351965">
      <w:pPr>
        <w:pStyle w:val="BodyTextIndent"/>
        <w:rPr>
          <w:lang w:eastAsia="zh-CN"/>
        </w:rPr>
      </w:pPr>
      <w:r>
        <w:rPr>
          <w:lang w:eastAsia="zh-CN"/>
        </w:rPr>
        <w:t xml:space="preserve">The core deposit intangible serves as a type of hedge against the effect that changes in interest rates have on loans. Specifically, if interest rates rise, the fair value of fixed rate loans held by the bank will fall but this loss will be offset by a rise in the fair value of the core deposit.  If the fair value of core deposits is unrecognized but the fair value of loans is recognized then the bank will appear more volatile than it truly is.    </w:t>
      </w:r>
    </w:p>
    <w:p w:rsidR="00351965" w:rsidRDefault="00351965" w:rsidP="00351965">
      <w:pPr>
        <w:pStyle w:val="BodyTextIndent"/>
        <w:rPr>
          <w:bCs/>
        </w:rPr>
      </w:pPr>
      <w:r>
        <w:rPr>
          <w:bCs/>
        </w:rPr>
        <w:t xml:space="preserve">We therefore investigate the impact of including the fair value of the core deposit intangible as an asset in measuring leverage.  To estimate the fair value of the core deposit intangible we rely on the static discount cash flow approach as described by the Office of Thrift Supervision (OTS) in the Department of Treasury (Hodder et al., (2006) also use this </w:t>
      </w:r>
      <w:r>
        <w:rPr>
          <w:bCs/>
        </w:rPr>
        <w:lastRenderedPageBreak/>
        <w:t>calculation and you can refer to their Appendix for details).</w:t>
      </w:r>
      <w:r>
        <w:rPr>
          <w:rStyle w:val="FootnoteReference"/>
          <w:bCs/>
        </w:rPr>
        <w:footnoteReference w:id="8"/>
      </w:r>
      <w:r>
        <w:rPr>
          <w:bCs/>
        </w:rPr>
        <w:t xml:space="preserve">  </w:t>
      </w:r>
      <w:r>
        <w:t>We use OTS-provided forward LIBOR rates during the estimation, and because these rates are not provided prior to 1997, we limit our sample to the period 1997 through 2008 for tests involving the fair value of the core deposit intangible.</w:t>
      </w:r>
    </w:p>
    <w:p w:rsidR="00351965" w:rsidRPr="003B5105" w:rsidRDefault="00351965" w:rsidP="00351965">
      <w:pPr>
        <w:pStyle w:val="BodyTextIndent"/>
        <w:rPr>
          <w:bCs/>
        </w:rPr>
      </w:pPr>
      <w:r>
        <w:rPr>
          <w:bCs/>
        </w:rPr>
        <w:t>We calculate leverage that includes the fair value of the core deposit intangible, denoted FVPlusCDI</w:t>
      </w:r>
      <w:r w:rsidRPr="00325AB4">
        <w:rPr>
          <w:bCs/>
          <w:i/>
        </w:rPr>
        <w:t>LEV</w:t>
      </w:r>
      <w:r>
        <w:rPr>
          <w:bCs/>
        </w:rPr>
        <w:t>, by adjusting FV</w:t>
      </w:r>
      <w:r w:rsidRPr="00953254">
        <w:rPr>
          <w:bCs/>
          <w:i/>
        </w:rPr>
        <w:t>LEV</w:t>
      </w:r>
      <w:r>
        <w:rPr>
          <w:bCs/>
        </w:rPr>
        <w:t xml:space="preserve"> to include our estimate of the core deposit intangible.  Table </w:t>
      </w:r>
      <w:r w:rsidR="007B5196">
        <w:rPr>
          <w:bCs/>
        </w:rPr>
        <w:t>3</w:t>
      </w:r>
      <w:r>
        <w:rPr>
          <w:bCs/>
        </w:rPr>
        <w:t xml:space="preserve"> reports the distributions of the 842 bank-specific Pearson correlation coefficients for FV</w:t>
      </w:r>
      <w:r w:rsidRPr="00325AB4">
        <w:rPr>
          <w:bCs/>
          <w:i/>
        </w:rPr>
        <w:t>LEV</w:t>
      </w:r>
      <w:r>
        <w:rPr>
          <w:bCs/>
        </w:rPr>
        <w:t xml:space="preserve"> and </w:t>
      </w:r>
      <w:bookmarkStart w:id="0" w:name="OLE_LINK2"/>
      <w:bookmarkStart w:id="1" w:name="OLE_LINK3"/>
      <w:r>
        <w:rPr>
          <w:bCs/>
        </w:rPr>
        <w:t>FVPlusCDI</w:t>
      </w:r>
      <w:r w:rsidRPr="00325AB4">
        <w:rPr>
          <w:bCs/>
          <w:i/>
        </w:rPr>
        <w:t>LEV</w:t>
      </w:r>
      <w:bookmarkEnd w:id="0"/>
      <w:bookmarkEnd w:id="1"/>
      <w:r>
        <w:rPr>
          <w:bCs/>
        </w:rPr>
        <w:t>.   The mean correlation coefficient for FV</w:t>
      </w:r>
      <w:r w:rsidRPr="00325AB4">
        <w:rPr>
          <w:bCs/>
          <w:i/>
        </w:rPr>
        <w:t>LEV</w:t>
      </w:r>
      <w:r>
        <w:rPr>
          <w:bCs/>
        </w:rPr>
        <w:t xml:space="preserve"> is slightly larger than</w:t>
      </w:r>
      <w:r w:rsidRPr="00625B9E">
        <w:rPr>
          <w:bCs/>
        </w:rPr>
        <w:t xml:space="preserve"> </w:t>
      </w:r>
      <w:r>
        <w:rPr>
          <w:bCs/>
        </w:rPr>
        <w:t>FVPlusCDI</w:t>
      </w:r>
      <w:r w:rsidRPr="00325AB4">
        <w:rPr>
          <w:bCs/>
          <w:i/>
        </w:rPr>
        <w:t>LEV</w:t>
      </w:r>
      <w:r>
        <w:rPr>
          <w:bCs/>
        </w:rPr>
        <w:t xml:space="preserve"> but the difference is not significant.  This suggests that including the core deposit intangible in </w:t>
      </w:r>
      <w:r w:rsidR="009E41BF">
        <w:rPr>
          <w:bCs/>
        </w:rPr>
        <w:t xml:space="preserve">the </w:t>
      </w:r>
      <w:r>
        <w:rPr>
          <w:bCs/>
        </w:rPr>
        <w:t xml:space="preserve">fair value leverage measure is not critical for the leverage measure to inform on credit risk. </w:t>
      </w:r>
    </w:p>
    <w:p w:rsidR="00487C70" w:rsidRDefault="007B5196" w:rsidP="00733E3F">
      <w:pPr>
        <w:pStyle w:val="BodyTextIndent"/>
        <w:rPr>
          <w:bCs/>
        </w:rPr>
      </w:pPr>
      <w:r>
        <w:rPr>
          <w:bCs/>
        </w:rPr>
        <w:t xml:space="preserve">As </w:t>
      </w:r>
      <w:r w:rsidR="00A00619">
        <w:rPr>
          <w:bCs/>
        </w:rPr>
        <w:t>our last</w:t>
      </w:r>
      <w:r>
        <w:rPr>
          <w:bCs/>
        </w:rPr>
        <w:t xml:space="preserve"> test, w</w:t>
      </w:r>
      <w:r w:rsidR="00487C70">
        <w:rPr>
          <w:bCs/>
        </w:rPr>
        <w:t>e</w:t>
      </w:r>
      <w:r w:rsidR="00D03D98">
        <w:rPr>
          <w:bCs/>
        </w:rPr>
        <w:t xml:space="preserve"> examine the relation between </w:t>
      </w:r>
      <w:r w:rsidR="005C33C3">
        <w:rPr>
          <w:bCs/>
        </w:rPr>
        <w:t>GAAP</w:t>
      </w:r>
      <w:r w:rsidR="005C33C3" w:rsidRPr="00F9054B">
        <w:rPr>
          <w:bCs/>
          <w:i/>
        </w:rPr>
        <w:t>LEV</w:t>
      </w:r>
      <w:r w:rsidR="005C33C3">
        <w:rPr>
          <w:bCs/>
          <w:i/>
        </w:rPr>
        <w:t>,</w:t>
      </w:r>
      <w:r w:rsidR="005C33C3">
        <w:rPr>
          <w:bCs/>
        </w:rPr>
        <w:t xml:space="preserve"> TIER1</w:t>
      </w:r>
      <w:r w:rsidR="005C33C3" w:rsidRPr="00F9054B">
        <w:rPr>
          <w:bCs/>
          <w:i/>
        </w:rPr>
        <w:t>LEV</w:t>
      </w:r>
      <w:r w:rsidR="005C33C3">
        <w:rPr>
          <w:bCs/>
          <w:i/>
        </w:rPr>
        <w:t xml:space="preserve">, </w:t>
      </w:r>
      <w:r w:rsidR="005C33C3" w:rsidRPr="00442AB2">
        <w:rPr>
          <w:bCs/>
        </w:rPr>
        <w:t xml:space="preserve">and </w:t>
      </w:r>
      <w:r w:rsidR="005C33C3">
        <w:rPr>
          <w:bCs/>
        </w:rPr>
        <w:t>FV</w:t>
      </w:r>
      <w:r w:rsidR="005C33C3" w:rsidRPr="00A74C0E">
        <w:rPr>
          <w:bCs/>
          <w:i/>
        </w:rPr>
        <w:t>LEV</w:t>
      </w:r>
      <w:r w:rsidR="005C33C3">
        <w:rPr>
          <w:bCs/>
        </w:rPr>
        <w:t xml:space="preserve"> </w:t>
      </w:r>
      <w:r>
        <w:rPr>
          <w:bCs/>
        </w:rPr>
        <w:t>at the aggregate level</w:t>
      </w:r>
      <w:r w:rsidR="00487C70">
        <w:rPr>
          <w:bCs/>
        </w:rPr>
        <w:t xml:space="preserve"> and TED</w:t>
      </w:r>
      <w:r w:rsidR="00D03D98">
        <w:rPr>
          <w:bCs/>
        </w:rPr>
        <w:t xml:space="preserve">.  </w:t>
      </w:r>
      <w:r>
        <w:rPr>
          <w:bCs/>
        </w:rPr>
        <w:t xml:space="preserve">This test </w:t>
      </w:r>
      <w:r w:rsidR="009F62B5">
        <w:rPr>
          <w:bCs/>
        </w:rPr>
        <w:t>directly</w:t>
      </w:r>
      <w:r>
        <w:rPr>
          <w:bCs/>
        </w:rPr>
        <w:t xml:space="preserve"> assesses the extent to which fair values at the industry level inform on TED, which is also an industry level measure. </w:t>
      </w:r>
      <w:r w:rsidR="009F62B5">
        <w:rPr>
          <w:bCs/>
        </w:rPr>
        <w:t xml:space="preserve"> The results of this test would be of interest to those</w:t>
      </w:r>
      <w:r w:rsidR="009F62B5">
        <w:t xml:space="preserve"> that have recommended that regulators monitor system wide measures of leverage to enhance the supervision of systemic risks</w:t>
      </w:r>
      <w:r w:rsidR="00CA5A9E">
        <w:t xml:space="preserve"> </w:t>
      </w:r>
      <w:r w:rsidR="009F62B5">
        <w:t xml:space="preserve">(GAO 2009 p. 68). </w:t>
      </w:r>
      <w:r w:rsidR="009F62B5">
        <w:rPr>
          <w:bCs/>
        </w:rPr>
        <w:t xml:space="preserve"> </w:t>
      </w:r>
      <w:r w:rsidR="00487C70">
        <w:rPr>
          <w:bCs/>
        </w:rPr>
        <w:t>F</w:t>
      </w:r>
      <w:r w:rsidR="00D03D98">
        <w:rPr>
          <w:bCs/>
        </w:rPr>
        <w:t>or each of the 17 years in our sample we sum together the</w:t>
      </w:r>
      <w:r w:rsidR="005C33C3">
        <w:rPr>
          <w:bCs/>
        </w:rPr>
        <w:t xml:space="preserve"> GAAP or fair values of</w:t>
      </w:r>
      <w:r w:rsidR="00D03D98">
        <w:rPr>
          <w:bCs/>
        </w:rPr>
        <w:t xml:space="preserve"> assets </w:t>
      </w:r>
      <w:r w:rsidR="00D97683">
        <w:rPr>
          <w:bCs/>
        </w:rPr>
        <w:t xml:space="preserve">and liabilities </w:t>
      </w:r>
      <w:r w:rsidR="00D70692">
        <w:rPr>
          <w:bCs/>
        </w:rPr>
        <w:t xml:space="preserve">at year end </w:t>
      </w:r>
      <w:r w:rsidR="00D97683">
        <w:rPr>
          <w:bCs/>
        </w:rPr>
        <w:t xml:space="preserve">to calculate </w:t>
      </w:r>
      <w:r w:rsidR="005C33C3">
        <w:rPr>
          <w:bCs/>
        </w:rPr>
        <w:t>GAAP</w:t>
      </w:r>
      <w:r w:rsidR="005C33C3" w:rsidRPr="00F9054B">
        <w:rPr>
          <w:bCs/>
          <w:i/>
        </w:rPr>
        <w:t>LEV</w:t>
      </w:r>
      <w:r w:rsidR="005C33C3" w:rsidRPr="00487C70">
        <w:rPr>
          <w:bCs/>
          <w:vertAlign w:val="subscript"/>
        </w:rPr>
        <w:t>I</w:t>
      </w:r>
      <w:r w:rsidR="005C33C3">
        <w:rPr>
          <w:bCs/>
          <w:i/>
        </w:rPr>
        <w:t xml:space="preserve"> </w:t>
      </w:r>
      <w:r w:rsidR="005C33C3" w:rsidRPr="00442AB2">
        <w:rPr>
          <w:bCs/>
        </w:rPr>
        <w:t xml:space="preserve">and </w:t>
      </w:r>
      <w:r w:rsidR="005C33C3">
        <w:rPr>
          <w:bCs/>
        </w:rPr>
        <w:t>FV</w:t>
      </w:r>
      <w:r w:rsidR="005C33C3" w:rsidRPr="00A74C0E">
        <w:rPr>
          <w:bCs/>
          <w:i/>
        </w:rPr>
        <w:t>LEV</w:t>
      </w:r>
      <w:r w:rsidR="005C33C3" w:rsidRPr="00487C70">
        <w:rPr>
          <w:bCs/>
          <w:vertAlign w:val="subscript"/>
        </w:rPr>
        <w:t>I</w:t>
      </w:r>
      <w:r w:rsidR="00A74C0E">
        <w:rPr>
          <w:bCs/>
        </w:rPr>
        <w:t xml:space="preserve"> (we use the subscript I to denote these measures are aggregated)</w:t>
      </w:r>
      <w:r w:rsidR="00D97683">
        <w:rPr>
          <w:bCs/>
        </w:rPr>
        <w:t xml:space="preserve">.  </w:t>
      </w:r>
      <w:r w:rsidR="00487C70">
        <w:rPr>
          <w:bCs/>
        </w:rPr>
        <w:t xml:space="preserve">We </w:t>
      </w:r>
      <w:r w:rsidR="005C33C3">
        <w:rPr>
          <w:bCs/>
        </w:rPr>
        <w:t>a</w:t>
      </w:r>
      <w:r w:rsidR="00487C70">
        <w:rPr>
          <w:bCs/>
        </w:rPr>
        <w:t xml:space="preserve">re unable to calculate an aggregated </w:t>
      </w:r>
      <w:r w:rsidR="00A00619">
        <w:rPr>
          <w:bCs/>
        </w:rPr>
        <w:t xml:space="preserve">Tier 1 capital </w:t>
      </w:r>
      <w:r w:rsidR="00487C70">
        <w:rPr>
          <w:bCs/>
        </w:rPr>
        <w:t xml:space="preserve">measure because the data on </w:t>
      </w:r>
      <w:r w:rsidR="00A00619">
        <w:rPr>
          <w:bCs/>
        </w:rPr>
        <w:t>Tier 1</w:t>
      </w:r>
      <w:r w:rsidR="00487C70">
        <w:rPr>
          <w:bCs/>
        </w:rPr>
        <w:t xml:space="preserve"> leverage is not sufficiently detailed.  So for TIER1</w:t>
      </w:r>
      <w:r w:rsidR="00487C70" w:rsidRPr="00487C70">
        <w:rPr>
          <w:bCs/>
          <w:i/>
        </w:rPr>
        <w:t>LEV</w:t>
      </w:r>
      <w:r w:rsidR="00487C70" w:rsidRPr="00487C70">
        <w:rPr>
          <w:bCs/>
          <w:vertAlign w:val="subscript"/>
        </w:rPr>
        <w:t>I</w:t>
      </w:r>
      <w:r w:rsidR="00487C70">
        <w:rPr>
          <w:bCs/>
        </w:rPr>
        <w:t xml:space="preserve"> we </w:t>
      </w:r>
      <w:r w:rsidR="006276B8">
        <w:rPr>
          <w:bCs/>
        </w:rPr>
        <w:t xml:space="preserve">simply </w:t>
      </w:r>
      <w:r w:rsidR="00487C70">
        <w:rPr>
          <w:bCs/>
        </w:rPr>
        <w:t>use the sample year average</w:t>
      </w:r>
      <w:r w:rsidR="00981915">
        <w:rPr>
          <w:bCs/>
        </w:rPr>
        <w:t xml:space="preserve"> of TIER1</w:t>
      </w:r>
      <w:r w:rsidR="00981915" w:rsidRPr="00981915">
        <w:rPr>
          <w:bCs/>
          <w:i/>
        </w:rPr>
        <w:t>LEV</w:t>
      </w:r>
      <w:r w:rsidR="00487C70">
        <w:rPr>
          <w:bCs/>
        </w:rPr>
        <w:t xml:space="preserve">. </w:t>
      </w:r>
    </w:p>
    <w:p w:rsidR="00CF7998" w:rsidRDefault="00D97683" w:rsidP="00A61C5F">
      <w:pPr>
        <w:pStyle w:val="BodyTextIndent"/>
      </w:pPr>
      <w:r>
        <w:lastRenderedPageBreak/>
        <w:t xml:space="preserve">Table </w:t>
      </w:r>
      <w:r w:rsidR="007B5196">
        <w:t>4</w:t>
      </w:r>
      <w:r>
        <w:t xml:space="preserve"> reports the Pearson correlations</w:t>
      </w:r>
      <w:r w:rsidR="00D70692">
        <w:t xml:space="preserve"> </w:t>
      </w:r>
      <w:r w:rsidR="00A61C5F">
        <w:t xml:space="preserve">as of </w:t>
      </w:r>
      <w:r w:rsidR="00D70692">
        <w:t>December 31 of each year</w:t>
      </w:r>
      <w:r>
        <w:t xml:space="preserve">.  </w:t>
      </w:r>
      <w:r w:rsidR="005C33C3">
        <w:t>As expected, TIER1</w:t>
      </w:r>
      <w:r w:rsidR="005C33C3" w:rsidRPr="00981915">
        <w:rPr>
          <w:i/>
        </w:rPr>
        <w:t>LEV</w:t>
      </w:r>
      <w:r w:rsidR="005C33C3">
        <w:t xml:space="preserve"> is</w:t>
      </w:r>
      <w:r w:rsidR="00A74C0E">
        <w:t xml:space="preserve"> highly correlated with </w:t>
      </w:r>
      <w:r w:rsidR="005C33C3">
        <w:t>GAAP</w:t>
      </w:r>
      <w:r w:rsidR="005C33C3" w:rsidRPr="005C33C3">
        <w:rPr>
          <w:i/>
        </w:rPr>
        <w:t>LEV</w:t>
      </w:r>
      <w:r w:rsidR="005C33C3">
        <w:t xml:space="preserve"> (the correlation is 0.74)</w:t>
      </w:r>
      <w:r w:rsidR="00487C70">
        <w:t xml:space="preserve">.  </w:t>
      </w:r>
      <w:r w:rsidR="005C33C3">
        <w:t>Also, GAAP</w:t>
      </w:r>
      <w:r w:rsidR="005C33C3" w:rsidRPr="00A74C0E">
        <w:rPr>
          <w:i/>
        </w:rPr>
        <w:t>LEV</w:t>
      </w:r>
      <w:r w:rsidR="005C33C3">
        <w:rPr>
          <w:vertAlign w:val="subscript"/>
        </w:rPr>
        <w:t>I</w:t>
      </w:r>
      <w:r w:rsidR="005C33C3">
        <w:t xml:space="preserve"> and FV</w:t>
      </w:r>
      <w:r w:rsidR="005C33C3" w:rsidRPr="00A74C0E">
        <w:rPr>
          <w:i/>
        </w:rPr>
        <w:t>LEV</w:t>
      </w:r>
      <w:r w:rsidR="005C33C3">
        <w:rPr>
          <w:vertAlign w:val="subscript"/>
        </w:rPr>
        <w:t>I</w:t>
      </w:r>
      <w:r w:rsidR="005C33C3">
        <w:t xml:space="preserve"> are fairly highly correlat</w:t>
      </w:r>
      <w:r w:rsidR="009D4A83">
        <w:t xml:space="preserve">ed (the correlation is 0.52) while </w:t>
      </w:r>
      <w:r w:rsidR="00487C70">
        <w:t>TIER1</w:t>
      </w:r>
      <w:r w:rsidR="00487C70" w:rsidRPr="00487C70">
        <w:rPr>
          <w:i/>
        </w:rPr>
        <w:t>LEV</w:t>
      </w:r>
      <w:r w:rsidR="00487C70" w:rsidRPr="00487C70">
        <w:rPr>
          <w:vertAlign w:val="subscript"/>
        </w:rPr>
        <w:t>I</w:t>
      </w:r>
      <w:r w:rsidR="00487C70">
        <w:t xml:space="preserve"> and FV</w:t>
      </w:r>
      <w:r w:rsidR="00487C70" w:rsidRPr="00A74C0E">
        <w:rPr>
          <w:i/>
        </w:rPr>
        <w:t>LEV</w:t>
      </w:r>
      <w:r w:rsidR="00487C70">
        <w:rPr>
          <w:vertAlign w:val="subscript"/>
        </w:rPr>
        <w:t>I</w:t>
      </w:r>
      <w:r w:rsidR="00487C70">
        <w:t xml:space="preserve"> are not significantly correlated</w:t>
      </w:r>
      <w:r w:rsidR="00981915">
        <w:t xml:space="preserve"> with one another</w:t>
      </w:r>
      <w:r w:rsidR="00A74C0E">
        <w:t xml:space="preserve">.  </w:t>
      </w:r>
      <w:r w:rsidR="009D4A83">
        <w:t>Remarkably, t</w:t>
      </w:r>
      <w:r w:rsidR="00215590">
        <w:t>he only</w:t>
      </w:r>
      <w:r w:rsidR="00A61C5F">
        <w:t xml:space="preserve"> aggregate</w:t>
      </w:r>
      <w:r w:rsidR="00215590">
        <w:t xml:space="preserve"> leverage measure that has a statistically significant correlation with TED is FV</w:t>
      </w:r>
      <w:r w:rsidR="00215590" w:rsidRPr="00A74C0E">
        <w:rPr>
          <w:i/>
        </w:rPr>
        <w:t>LEV</w:t>
      </w:r>
      <w:r w:rsidR="00215590">
        <w:rPr>
          <w:vertAlign w:val="subscript"/>
        </w:rPr>
        <w:t>I</w:t>
      </w:r>
      <w:r w:rsidR="00215590">
        <w:t>.  The correlation coefficient is 0.5</w:t>
      </w:r>
      <w:r w:rsidR="00487C70">
        <w:t>3</w:t>
      </w:r>
      <w:r w:rsidR="00215590">
        <w:t xml:space="preserve"> which is significant at the 3% level.  This </w:t>
      </w:r>
      <w:r w:rsidR="00A61C5F">
        <w:t>suggests that if one wants to assess changes in systemic credit risk in the banking industry, aggregate leverage based on ful</w:t>
      </w:r>
      <w:r w:rsidR="009F62B5">
        <w:t>l fair values is preferable to aggregating the</w:t>
      </w:r>
      <w:r w:rsidR="00A61C5F">
        <w:t xml:space="preserve"> two most commonly used leverage measures.  </w:t>
      </w:r>
    </w:p>
    <w:p w:rsidR="00A61C5F" w:rsidRDefault="00A61C5F" w:rsidP="00A61C5F">
      <w:pPr>
        <w:pStyle w:val="BodyTextIndent"/>
        <w:rPr>
          <w:b/>
        </w:rPr>
      </w:pPr>
    </w:p>
    <w:p w:rsidR="002E149F" w:rsidRPr="006375F8" w:rsidRDefault="002E149F" w:rsidP="002E149F">
      <w:pPr>
        <w:spacing w:line="480" w:lineRule="auto"/>
        <w:ind w:firstLine="720"/>
        <w:jc w:val="center"/>
        <w:rPr>
          <w:b/>
        </w:rPr>
      </w:pPr>
      <w:r w:rsidRPr="006375F8">
        <w:rPr>
          <w:b/>
        </w:rPr>
        <w:t>V.  CONCLUSION</w:t>
      </w:r>
    </w:p>
    <w:p w:rsidR="00867CBA" w:rsidRDefault="00867CBA" w:rsidP="00C24489">
      <w:pPr>
        <w:spacing w:line="480" w:lineRule="auto"/>
        <w:ind w:firstLine="720"/>
      </w:pPr>
      <w:r>
        <w:t xml:space="preserve">In this study we investigate the informativeness of various balance sheet leverage measures </w:t>
      </w:r>
      <w:r w:rsidR="00663323">
        <w:t>that are calculated with the financial instruments measured across</w:t>
      </w:r>
      <w:r>
        <w:t xml:space="preserve"> a fair value-amortized cost range</w:t>
      </w:r>
      <w:r w:rsidR="00663323">
        <w:t xml:space="preserve"> </w:t>
      </w:r>
      <w:r>
        <w:t>by examining the association between the various leverage measures and TED spread</w:t>
      </w:r>
      <w:r w:rsidRPr="00867CBA">
        <w:t xml:space="preserve"> </w:t>
      </w:r>
      <w:r>
        <w:t>for 1,046 bank holding companies from 1992-2008.  Our study is motivated by the need to understand the extent to which fair values and leverage can inform on credit risk within the banking industry</w:t>
      </w:r>
      <w:r w:rsidR="007B0B6B">
        <w:t xml:space="preserve"> given that standard setters may soon be proposing that all financial instruments be recognized at fair value</w:t>
      </w:r>
      <w:r w:rsidR="00067F19">
        <w:t xml:space="preserve"> and regulators are considering related reforms</w:t>
      </w:r>
      <w:r>
        <w:t xml:space="preserve">. </w:t>
      </w:r>
    </w:p>
    <w:p w:rsidR="00300EDE" w:rsidRDefault="00867CBA" w:rsidP="00C24489">
      <w:pPr>
        <w:spacing w:line="480" w:lineRule="auto"/>
        <w:ind w:firstLine="720"/>
      </w:pPr>
      <w:r>
        <w:t>Our findings demonstrate that leverage measured using the fair value of all financial instruments, both assets and liabilities, is the most c</w:t>
      </w:r>
      <w:r w:rsidR="00EB7C08">
        <w:t>losely aligned with TED spread and significantly more aligned tha</w:t>
      </w:r>
      <w:r w:rsidR="00067F19">
        <w:t>n</w:t>
      </w:r>
      <w:r w:rsidR="00EB7C08">
        <w:t xml:space="preserve"> leverage measured using GAAP reported numbers or </w:t>
      </w:r>
      <w:r w:rsidR="00067F19">
        <w:t>T</w:t>
      </w:r>
      <w:r w:rsidR="00EB7C08">
        <w:t xml:space="preserve">ier 1 capital amounts.  </w:t>
      </w:r>
      <w:r w:rsidR="0051502D">
        <w:t xml:space="preserve">Furthermore, our findings </w:t>
      </w:r>
      <w:r w:rsidR="00067F19">
        <w:t xml:space="preserve">suggest that fair valuing loans, securities, and </w:t>
      </w:r>
      <w:r w:rsidR="00067F19">
        <w:lastRenderedPageBreak/>
        <w:t xml:space="preserve">liabilities all play a </w:t>
      </w:r>
      <w:r w:rsidR="00D2039E">
        <w:t xml:space="preserve">significant </w:t>
      </w:r>
      <w:r w:rsidR="00067F19">
        <w:t xml:space="preserve">role in improving the association between leverage </w:t>
      </w:r>
      <w:r w:rsidR="00D2039E">
        <w:t>and TED spread</w:t>
      </w:r>
      <w:r w:rsidR="0051502D">
        <w:t xml:space="preserve">. </w:t>
      </w:r>
      <w:r>
        <w:t xml:space="preserve">This </w:t>
      </w:r>
      <w:r w:rsidR="00067F19">
        <w:t>provides evidence to standard setters</w:t>
      </w:r>
      <w:r>
        <w:t xml:space="preserve"> that recognition of fair values of all financial instruments in the financial statements </w:t>
      </w:r>
      <w:r w:rsidR="00DF6037">
        <w:t xml:space="preserve">of banks </w:t>
      </w:r>
      <w:r>
        <w:t xml:space="preserve">will aid </w:t>
      </w:r>
      <w:r w:rsidR="00D2039E">
        <w:t>investors</w:t>
      </w:r>
      <w:r>
        <w:t xml:space="preserve"> that use reported leverage to assess a bank’s credit risk.</w:t>
      </w:r>
      <w:r w:rsidR="001E4C9C">
        <w:t xml:space="preserve">  </w:t>
      </w:r>
    </w:p>
    <w:p w:rsidR="00D373A0" w:rsidRPr="002761AE" w:rsidRDefault="001E4C9C" w:rsidP="00C24489">
      <w:pPr>
        <w:spacing w:line="480" w:lineRule="auto"/>
        <w:ind w:firstLine="720"/>
      </w:pPr>
      <w:r w:rsidRPr="002761AE">
        <w:t>I</w:t>
      </w:r>
      <w:r w:rsidR="00300EDE" w:rsidRPr="002761AE">
        <w:t xml:space="preserve">n light of our results it is interesting that </w:t>
      </w:r>
      <w:r w:rsidRPr="002761AE">
        <w:t>the ABA conclu</w:t>
      </w:r>
      <w:r w:rsidR="00300EDE" w:rsidRPr="002761AE">
        <w:t>ded</w:t>
      </w:r>
      <w:r w:rsidRPr="002761AE">
        <w:t xml:space="preserve"> based on interviews with bank financial statement user groups that users find the existing mixed-attribute financials </w:t>
      </w:r>
      <w:r w:rsidR="00300EDE" w:rsidRPr="002761AE">
        <w:t xml:space="preserve">useful for their predictive value and reflective of banks’ business models and that these user groups “were generally strongly in favor of mixed-attribute presentation on the face of the financials” (ABA 2009 p. 4).  </w:t>
      </w:r>
      <w:r w:rsidR="00C227C9" w:rsidRPr="002761AE">
        <w:t xml:space="preserve">The ABA also reported that some even called for a return to a full historical cost model.  </w:t>
      </w:r>
      <w:r w:rsidR="009D482F">
        <w:t xml:space="preserve"> </w:t>
      </w:r>
      <w:r w:rsidR="009D482F" w:rsidRPr="002761AE">
        <w:t xml:space="preserve">Our study should be </w:t>
      </w:r>
      <w:r w:rsidR="00F95E87">
        <w:t>of interest</w:t>
      </w:r>
      <w:r w:rsidR="009D482F" w:rsidRPr="002761AE">
        <w:t xml:space="preserve"> to the ABA and the users</w:t>
      </w:r>
      <w:r w:rsidR="002761AE" w:rsidRPr="002761AE">
        <w:t xml:space="preserve"> they interviewed</w:t>
      </w:r>
      <w:r w:rsidR="009D482F" w:rsidRPr="002761AE">
        <w:t xml:space="preserve"> because we </w:t>
      </w:r>
      <w:r w:rsidR="002761AE" w:rsidRPr="002761AE">
        <w:t xml:space="preserve">provide </w:t>
      </w:r>
      <w:r w:rsidR="009D482F" w:rsidRPr="002761AE">
        <w:t xml:space="preserve">evidence </w:t>
      </w:r>
      <w:r w:rsidR="002761AE" w:rsidRPr="002761AE">
        <w:t>that</w:t>
      </w:r>
      <w:r w:rsidR="009D482F" w:rsidRPr="002761AE">
        <w:t xml:space="preserve"> </w:t>
      </w:r>
      <w:r w:rsidR="00096657">
        <w:t xml:space="preserve">leverage calculated with the </w:t>
      </w:r>
      <w:r w:rsidR="009D482F" w:rsidRPr="002761AE">
        <w:t>fair value</w:t>
      </w:r>
      <w:r w:rsidR="002761AE" w:rsidRPr="002761AE">
        <w:t xml:space="preserve">s </w:t>
      </w:r>
      <w:r w:rsidR="00096657">
        <w:t xml:space="preserve">of financial instruments </w:t>
      </w:r>
      <w:r w:rsidR="00F95E87">
        <w:t>is</w:t>
      </w:r>
      <w:r w:rsidR="002761AE" w:rsidRPr="002761AE">
        <w:t xml:space="preserve"> more informative on credit risk</w:t>
      </w:r>
      <w:r w:rsidR="009D482F" w:rsidRPr="002761AE">
        <w:t xml:space="preserve"> </w:t>
      </w:r>
      <w:r w:rsidR="00096657">
        <w:t>t</w:t>
      </w:r>
      <w:r w:rsidR="00F95E87">
        <w:t xml:space="preserve">han leverage </w:t>
      </w:r>
      <w:r w:rsidR="00096657">
        <w:t xml:space="preserve">calculated </w:t>
      </w:r>
      <w:r w:rsidR="00F95E87">
        <w:t>with</w:t>
      </w:r>
      <w:r w:rsidR="00096657">
        <w:t xml:space="preserve"> the</w:t>
      </w:r>
      <w:r w:rsidR="009D482F" w:rsidRPr="002761AE">
        <w:t xml:space="preserve"> </w:t>
      </w:r>
      <w:r w:rsidR="00F95E87">
        <w:t>currently reported</w:t>
      </w:r>
      <w:r w:rsidR="009D482F" w:rsidRPr="002761AE">
        <w:t xml:space="preserve"> mixed</w:t>
      </w:r>
      <w:r w:rsidR="00F95E87">
        <w:t>-</w:t>
      </w:r>
      <w:r w:rsidR="009D482F" w:rsidRPr="002761AE">
        <w:t xml:space="preserve">attribute </w:t>
      </w:r>
      <w:r w:rsidR="00096657">
        <w:t>measures</w:t>
      </w:r>
      <w:r w:rsidR="009D482F" w:rsidRPr="002761AE">
        <w:t>.</w:t>
      </w:r>
    </w:p>
    <w:p w:rsidR="002E149F" w:rsidRDefault="002E149F" w:rsidP="00C24489">
      <w:pPr>
        <w:spacing w:line="480" w:lineRule="auto"/>
        <w:ind w:firstLine="720"/>
      </w:pPr>
      <w:r>
        <w:t>Our analysis</w:t>
      </w:r>
      <w:r w:rsidR="00317B7B">
        <w:t xml:space="preserve"> also</w:t>
      </w:r>
      <w:r>
        <w:t xml:space="preserve"> </w:t>
      </w:r>
      <w:r w:rsidR="00D2039E">
        <w:t xml:space="preserve">is </w:t>
      </w:r>
      <w:r w:rsidR="00867CBA">
        <w:t>relevant to</w:t>
      </w:r>
      <w:r w:rsidR="00266089">
        <w:t xml:space="preserve"> the current debate over regulatory reform.</w:t>
      </w:r>
      <w:r>
        <w:t xml:space="preserve"> </w:t>
      </w:r>
      <w:r w:rsidR="002761AE">
        <w:t>The Financial Stability Board</w:t>
      </w:r>
      <w:r w:rsidR="0042760A">
        <w:t xml:space="preserve"> (2009)</w:t>
      </w:r>
      <w:r w:rsidR="002761AE">
        <w:t xml:space="preserve"> has called for standard setters to evaluate the benefits of requiring more forward looking measures of credit loss impairments, including expected loss and full fair value measures.  In addition, r</w:t>
      </w:r>
      <w:r w:rsidR="00067F19">
        <w:t xml:space="preserve">egulators in </w:t>
      </w:r>
      <w:r w:rsidR="002761AE">
        <w:t xml:space="preserve">only </w:t>
      </w:r>
      <w:r w:rsidR="00067F19">
        <w:t xml:space="preserve">two of the thirty member </w:t>
      </w:r>
      <w:r w:rsidR="00317B7B">
        <w:t xml:space="preserve">countries of the </w:t>
      </w:r>
      <w:r w:rsidR="00067F19">
        <w:t>Organisation for Economic Co-operation and Development</w:t>
      </w:r>
      <w:r w:rsidR="00317B7B" w:rsidRPr="00317B7B">
        <w:t xml:space="preserve"> </w:t>
      </w:r>
      <w:r w:rsidR="00317B7B">
        <w:t>(the United States  and Canada)</w:t>
      </w:r>
      <w:r w:rsidR="00067F19">
        <w:t xml:space="preserve"> </w:t>
      </w:r>
      <w:r w:rsidR="002761AE">
        <w:t xml:space="preserve">currently </w:t>
      </w:r>
      <w:r w:rsidR="00067F19">
        <w:t xml:space="preserve">consider non-risk based leverage in regulating banks while officials at the World Bank are encouraging more widespread use of a non-risk based leverage ratio as a supplement to the risk-weighting of assets (World Bank 2009).  </w:t>
      </w:r>
      <w:r w:rsidR="002761AE">
        <w:t>Lastly</w:t>
      </w:r>
      <w:r w:rsidR="00067F19">
        <w:t>, i</w:t>
      </w:r>
      <w:r w:rsidR="00AD43B3">
        <w:t>n response to the perceived problems with financial regulation</w:t>
      </w:r>
      <w:r w:rsidR="00151E5D">
        <w:t>,</w:t>
      </w:r>
      <w:r w:rsidR="00AD43B3">
        <w:t xml:space="preserve"> the US Department of the Treasury recently released a roadmap</w:t>
      </w:r>
      <w:r w:rsidR="0016044C">
        <w:t xml:space="preserve"> </w:t>
      </w:r>
      <w:r w:rsidR="00AD43B3">
        <w:t>for regulatory overhaul</w:t>
      </w:r>
      <w:r w:rsidR="00783196">
        <w:t xml:space="preserve"> (Department of the Treasury </w:t>
      </w:r>
      <w:r w:rsidR="00783196">
        <w:lastRenderedPageBreak/>
        <w:t>2009)</w:t>
      </w:r>
      <w:r w:rsidR="00AD43B3">
        <w:t>. This overhaul includes consideration of a systemic risk regulator.</w:t>
      </w:r>
      <w:r w:rsidR="00266089">
        <w:t xml:space="preserve"> The relationship between leverage and credit risk is potentially a critical input into any systemic risk analysis</w:t>
      </w:r>
      <w:r w:rsidR="00084DD2">
        <w:t xml:space="preserve"> and it has been suggested that Congress asks any new systemic risk regulator to identify the best way to measure system wide leverage (GAO 2009 p. 72)</w:t>
      </w:r>
      <w:r w:rsidR="00BC3CE9">
        <w:t xml:space="preserve">.  </w:t>
      </w:r>
      <w:r w:rsidR="00867CBA">
        <w:t xml:space="preserve">Our results suggest that </w:t>
      </w:r>
      <w:r w:rsidR="00084DD2">
        <w:t xml:space="preserve">bank regulators seriously consider using </w:t>
      </w:r>
      <w:r w:rsidR="0042760A">
        <w:t xml:space="preserve">leverage ratios that reflect the </w:t>
      </w:r>
      <w:r w:rsidR="00067F19">
        <w:t>fair value</w:t>
      </w:r>
      <w:r w:rsidR="0042760A">
        <w:t>s of all financial instruments</w:t>
      </w:r>
      <w:r w:rsidR="00067F19">
        <w:t xml:space="preserve"> </w:t>
      </w:r>
      <w:r w:rsidR="002761AE">
        <w:t>for credit risk assessment purposes both at the individual bank and macroeconomic level</w:t>
      </w:r>
      <w:r w:rsidR="00867CBA">
        <w:t>.</w:t>
      </w:r>
    </w:p>
    <w:p w:rsidR="00B74E41" w:rsidRDefault="00BA69A6" w:rsidP="00BA69A6">
      <w:pPr>
        <w:jc w:val="center"/>
      </w:pPr>
      <w:r>
        <w:br w:type="page"/>
      </w:r>
      <w:r>
        <w:lastRenderedPageBreak/>
        <w:t>References</w:t>
      </w:r>
    </w:p>
    <w:p w:rsidR="00BA69A6" w:rsidRDefault="00BA69A6" w:rsidP="00BA69A6">
      <w:pPr>
        <w:jc w:val="center"/>
      </w:pPr>
    </w:p>
    <w:p w:rsidR="00784F54" w:rsidRPr="00D97923" w:rsidRDefault="00784F54" w:rsidP="003259F6">
      <w:pPr>
        <w:ind w:left="720" w:hanging="720"/>
        <w:rPr>
          <w:lang w:eastAsia="zh-CN"/>
        </w:rPr>
      </w:pPr>
      <w:r>
        <w:rPr>
          <w:lang w:eastAsia="zh-CN"/>
        </w:rPr>
        <w:t>American Bankers Association</w:t>
      </w:r>
      <w:r w:rsidR="00563BE6">
        <w:rPr>
          <w:lang w:eastAsia="zh-CN"/>
        </w:rPr>
        <w:t xml:space="preserve"> (ABA)</w:t>
      </w:r>
      <w:r>
        <w:rPr>
          <w:lang w:eastAsia="zh-CN"/>
        </w:rPr>
        <w:t xml:space="preserve">. 2006. Comment Letter to the </w:t>
      </w:r>
      <w:r w:rsidR="00D97923">
        <w:rPr>
          <w:lang w:eastAsia="zh-CN"/>
        </w:rPr>
        <w:t xml:space="preserve">FASB on File Reference No. 1250-001, Proposed Statement of Financial Accounting Standard, The Fair Value Option for Financial Assets and Financial Liabilities - Including an amendment of FASB No. 115. April 18. </w:t>
      </w:r>
      <w:hyperlink r:id="rId8" w:history="1">
        <w:r w:rsidR="00D97923" w:rsidRPr="00EC492E">
          <w:rPr>
            <w:rStyle w:val="Hyperlink"/>
            <w:lang w:eastAsia="zh-CN"/>
          </w:rPr>
          <w:t>http://www.aba.com/NR/rdonlyres/DC65CE12-B1C7-11D4-AB4A-00508B95258D/42729/FairvalueoptionApril2006.pdf</w:t>
        </w:r>
      </w:hyperlink>
      <w:r w:rsidR="00D97923">
        <w:rPr>
          <w:lang w:eastAsia="zh-CN"/>
        </w:rPr>
        <w:t xml:space="preserve"> last accessed 9/9/2009.</w:t>
      </w:r>
    </w:p>
    <w:p w:rsidR="00784F54" w:rsidRDefault="00784F54" w:rsidP="003B0086">
      <w:pPr>
        <w:ind w:left="720" w:hanging="480"/>
        <w:rPr>
          <w:lang w:eastAsia="zh-CN"/>
        </w:rPr>
      </w:pPr>
    </w:p>
    <w:p w:rsidR="005705AB" w:rsidRPr="005705AB" w:rsidRDefault="00784F54" w:rsidP="003259F6">
      <w:pPr>
        <w:ind w:left="720" w:hanging="720"/>
        <w:rPr>
          <w:color w:val="1F497D"/>
        </w:rPr>
      </w:pPr>
      <w:r>
        <w:rPr>
          <w:lang w:eastAsia="zh-CN"/>
        </w:rPr>
        <w:t>ABA</w:t>
      </w:r>
      <w:r w:rsidR="005705AB" w:rsidRPr="005705AB">
        <w:rPr>
          <w:lang w:eastAsia="zh-CN"/>
        </w:rPr>
        <w:t xml:space="preserve">. 2009. </w:t>
      </w:r>
      <w:r w:rsidR="005705AB" w:rsidRPr="005705AB">
        <w:rPr>
          <w:i/>
          <w:iCs/>
          <w:lang w:eastAsia="zh-CN"/>
        </w:rPr>
        <w:t>Statement for the Record On Behalf of the American Bankers Association Before the Subcommittee on Capital Markets, Insurance, and Government Sponsored Enterprises, Committee on Financial Services, United States House of Representatives, March 12, 2009</w:t>
      </w:r>
      <w:r w:rsidR="005705AB" w:rsidRPr="005705AB">
        <w:rPr>
          <w:lang w:eastAsia="zh-CN"/>
        </w:rPr>
        <w:t xml:space="preserve">. Statement for the Record. </w:t>
      </w:r>
      <w:smartTag w:uri="urn:schemas-microsoft-com:office:smarttags" w:element="City">
        <w:r w:rsidR="005705AB" w:rsidRPr="005705AB">
          <w:rPr>
            <w:lang w:eastAsia="zh-CN"/>
          </w:rPr>
          <w:t>Washington</w:t>
        </w:r>
      </w:smartTag>
      <w:r w:rsidR="005705AB" w:rsidRPr="005705AB">
        <w:rPr>
          <w:lang w:eastAsia="zh-CN"/>
        </w:rPr>
        <w:t xml:space="preserve">, </w:t>
      </w:r>
      <w:smartTag w:uri="urn:schemas-microsoft-com:office:smarttags" w:element="State">
        <w:r w:rsidR="005705AB" w:rsidRPr="005705AB">
          <w:rPr>
            <w:lang w:eastAsia="zh-CN"/>
          </w:rPr>
          <w:t>DC</w:t>
        </w:r>
      </w:smartTag>
      <w:r w:rsidR="005705AB" w:rsidRPr="005705AB">
        <w:rPr>
          <w:lang w:eastAsia="zh-CN"/>
        </w:rPr>
        <w:t xml:space="preserve">: </w:t>
      </w:r>
      <w:smartTag w:uri="urn:schemas-microsoft-com:office:smarttags" w:element="place">
        <w:smartTag w:uri="urn:schemas-microsoft-com:office:smarttags" w:element="City">
          <w:r w:rsidR="005705AB" w:rsidRPr="005705AB">
            <w:rPr>
              <w:lang w:eastAsia="zh-CN"/>
            </w:rPr>
            <w:t>ABA</w:t>
          </w:r>
        </w:smartTag>
      </w:smartTag>
      <w:r w:rsidR="005705AB" w:rsidRPr="005705AB">
        <w:rPr>
          <w:lang w:eastAsia="zh-CN"/>
        </w:rPr>
        <w:t>.</w:t>
      </w:r>
    </w:p>
    <w:p w:rsidR="005705AB" w:rsidRPr="005705AB" w:rsidRDefault="005705AB" w:rsidP="003B0086">
      <w:pPr>
        <w:ind w:left="720" w:hanging="480"/>
        <w:rPr>
          <w:color w:val="1F497D"/>
        </w:rPr>
      </w:pPr>
    </w:p>
    <w:p w:rsidR="00653CF4" w:rsidRPr="00B25A5D" w:rsidRDefault="00653CF4" w:rsidP="003259F6">
      <w:pPr>
        <w:autoSpaceDE w:val="0"/>
        <w:autoSpaceDN w:val="0"/>
        <w:adjustRightInd w:val="0"/>
        <w:ind w:left="720" w:hanging="720"/>
      </w:pPr>
      <w:r w:rsidRPr="00B25A5D">
        <w:t>Barth, M.E., Landsman, W.R. and Wahlen,</w:t>
      </w:r>
      <w:r>
        <w:t xml:space="preserve"> </w:t>
      </w:r>
      <w:r w:rsidRPr="00B25A5D">
        <w:t>J.</w:t>
      </w:r>
      <w:r>
        <w:t>W.</w:t>
      </w:r>
      <w:r w:rsidRPr="00B25A5D">
        <w:t xml:space="preserve"> 1995. Fair</w:t>
      </w:r>
      <w:r>
        <w:t xml:space="preserve"> </w:t>
      </w:r>
      <w:r w:rsidRPr="00B25A5D">
        <w:t>value accounting: effects on banks’ earnings volatility,</w:t>
      </w:r>
      <w:r>
        <w:t xml:space="preserve"> </w:t>
      </w:r>
      <w:r w:rsidRPr="00B25A5D">
        <w:t>regulatory capital, and value of contractual cash flows.</w:t>
      </w:r>
      <w:r>
        <w:t xml:space="preserve"> </w:t>
      </w:r>
      <w:r w:rsidRPr="00B25A5D">
        <w:rPr>
          <w:i/>
          <w:iCs/>
        </w:rPr>
        <w:t>Journal of Banking and Finance</w:t>
      </w:r>
      <w:r w:rsidRPr="00B25A5D">
        <w:t>, 19:577–605.</w:t>
      </w:r>
    </w:p>
    <w:p w:rsidR="00653CF4" w:rsidRDefault="00653CF4" w:rsidP="003B0086">
      <w:pPr>
        <w:ind w:left="720" w:hanging="480"/>
      </w:pPr>
    </w:p>
    <w:p w:rsidR="003259F6" w:rsidRDefault="003259F6" w:rsidP="003259F6">
      <w:pPr>
        <w:ind w:left="720" w:hanging="720"/>
        <w:rPr>
          <w:color w:val="333333"/>
        </w:rPr>
      </w:pPr>
      <w:r>
        <w:rPr>
          <w:color w:val="333333"/>
        </w:rPr>
        <w:t>CFA Institute Centre for Financial Market Integrity. 2008.  “CFA Institute Centre Says Fair Value ‘Smoothing’ Will Mask the Reality of Market Conditions and Allow Companies to Hide Risk,” Press Release, April 17.</w:t>
      </w:r>
    </w:p>
    <w:p w:rsidR="003259F6" w:rsidRDefault="003259F6" w:rsidP="003B0086">
      <w:pPr>
        <w:ind w:left="720" w:hanging="480"/>
        <w:rPr>
          <w:color w:val="333333"/>
        </w:rPr>
      </w:pPr>
    </w:p>
    <w:p w:rsidR="00BF26AE" w:rsidRDefault="00BF26AE" w:rsidP="003259F6">
      <w:pPr>
        <w:ind w:left="720" w:hanging="720"/>
      </w:pPr>
      <w:r>
        <w:rPr>
          <w:color w:val="333333"/>
        </w:rPr>
        <w:t>CFA Institute Centre for Financial Market Integrity, the Center for Audit Quality, the Consumer Federation of America, and the Council of Institutional Investors</w:t>
      </w:r>
      <w:r w:rsidR="00512B8F">
        <w:rPr>
          <w:color w:val="333333"/>
        </w:rPr>
        <w:t>.</w:t>
      </w:r>
      <w:r>
        <w:rPr>
          <w:color w:val="333333"/>
        </w:rPr>
        <w:t xml:space="preserve"> </w:t>
      </w:r>
      <w:r w:rsidR="00512B8F">
        <w:rPr>
          <w:color w:val="333333"/>
        </w:rPr>
        <w:t xml:space="preserve">2008.  October 15 letter to the SEC </w:t>
      </w:r>
      <w:r w:rsidRPr="00BF26AE">
        <w:t>http://www.cfainstitute.org/aboutus/press/release/08releases/20081015_02.html</w:t>
      </w:r>
      <w:r w:rsidR="00512B8F" w:rsidRPr="00512B8F">
        <w:t xml:space="preserve"> </w:t>
      </w:r>
      <w:r w:rsidR="00512B8F">
        <w:t>last accessed 9/21/2009.</w:t>
      </w:r>
    </w:p>
    <w:p w:rsidR="00BF26AE" w:rsidRDefault="00BF26AE" w:rsidP="003B0086">
      <w:pPr>
        <w:ind w:left="720" w:hanging="480"/>
      </w:pPr>
    </w:p>
    <w:p w:rsidR="0058497E" w:rsidRPr="0013133D" w:rsidRDefault="0058497E" w:rsidP="003259F6">
      <w:pPr>
        <w:ind w:left="720" w:hanging="720"/>
      </w:pPr>
      <w:r w:rsidRPr="0013133D">
        <w:t>Department of the Treasury, 2009. Financial Regulatory Reform. A New Foundation: Rebuilding Financial Supervision and Regulation.</w:t>
      </w:r>
      <w:r w:rsidRPr="0058497E">
        <w:rPr>
          <w:color w:val="1F497D"/>
        </w:rPr>
        <w:t xml:space="preserve"> </w:t>
      </w:r>
      <w:hyperlink r:id="rId9" w:tooltip="blocked::http://www.financialstability.gov/docs/regs/FinalReport_web.pdf" w:history="1">
        <w:r w:rsidRPr="0058497E">
          <w:rPr>
            <w:rStyle w:val="Hyperlink"/>
          </w:rPr>
          <w:t>http://www.financialstability.gov/docs/regs/FinalReport_web.pdf</w:t>
        </w:r>
      </w:hyperlink>
      <w:r w:rsidRPr="0058497E">
        <w:rPr>
          <w:color w:val="1F497D"/>
        </w:rPr>
        <w:t xml:space="preserve"> </w:t>
      </w:r>
      <w:r w:rsidR="0042760A">
        <w:rPr>
          <w:color w:val="1F497D"/>
        </w:rPr>
        <w:t xml:space="preserve"> </w:t>
      </w:r>
      <w:r w:rsidRPr="0013133D">
        <w:t>last accessed 9/1/2009.</w:t>
      </w:r>
    </w:p>
    <w:p w:rsidR="0058497E" w:rsidRDefault="0058497E" w:rsidP="003B0086">
      <w:pPr>
        <w:ind w:left="720" w:hanging="480"/>
      </w:pPr>
    </w:p>
    <w:p w:rsidR="00BA69A6" w:rsidRDefault="00BA69A6" w:rsidP="003259F6">
      <w:pPr>
        <w:ind w:left="720" w:hanging="720"/>
      </w:pPr>
      <w:r>
        <w:t>Financ</w:t>
      </w:r>
      <w:r w:rsidR="003A158F">
        <w:t xml:space="preserve">ial Accounting Standards Board. </w:t>
      </w:r>
      <w:r>
        <w:t>2009</w:t>
      </w:r>
      <w:r w:rsidR="003A158F">
        <w:t>.</w:t>
      </w:r>
      <w:r>
        <w:t xml:space="preserve"> Accounting for Financial Instruments Summary of Decisions Reached to Date As of August 19, 2009.</w:t>
      </w:r>
    </w:p>
    <w:p w:rsidR="00B74E41" w:rsidRDefault="00B74E41" w:rsidP="003B0086">
      <w:pPr>
        <w:ind w:hanging="480"/>
      </w:pPr>
    </w:p>
    <w:p w:rsidR="00B74E41" w:rsidRDefault="00BA69A6" w:rsidP="003259F6">
      <w:pPr>
        <w:ind w:left="720" w:hanging="720"/>
      </w:pPr>
      <w:r>
        <w:t>Financial Crisis Advisory Group</w:t>
      </w:r>
      <w:r w:rsidR="003A158F">
        <w:t>.</w:t>
      </w:r>
      <w:r w:rsidR="00A34384">
        <w:t xml:space="preserve"> 2009</w:t>
      </w:r>
      <w:r w:rsidR="003A158F">
        <w:t>.</w:t>
      </w:r>
      <w:r>
        <w:t xml:space="preserve"> </w:t>
      </w:r>
      <w:r w:rsidR="00A34384">
        <w:t>Report of the Financial Crisis Advisory Group</w:t>
      </w:r>
      <w:r w:rsidR="003A158F">
        <w:t>.</w:t>
      </w:r>
      <w:r w:rsidR="00A34384">
        <w:t xml:space="preserve"> July 28</w:t>
      </w:r>
      <w:r>
        <w:t>.</w:t>
      </w:r>
    </w:p>
    <w:p w:rsidR="00B74E41" w:rsidRDefault="00B74E41" w:rsidP="003B0086">
      <w:pPr>
        <w:ind w:hanging="480"/>
      </w:pPr>
    </w:p>
    <w:p w:rsidR="0042760A" w:rsidRPr="0042760A" w:rsidRDefault="0042760A" w:rsidP="0042760A">
      <w:pPr>
        <w:autoSpaceDE w:val="0"/>
        <w:autoSpaceDN w:val="0"/>
        <w:adjustRightInd w:val="0"/>
        <w:ind w:left="720" w:hanging="720"/>
        <w:rPr>
          <w:sz w:val="20"/>
          <w:szCs w:val="20"/>
          <w:lang w:eastAsia="en-US"/>
        </w:rPr>
      </w:pPr>
      <w:r w:rsidRPr="0042760A">
        <w:t>Financial Stability Board</w:t>
      </w:r>
      <w:r>
        <w:t xml:space="preserve">. </w:t>
      </w:r>
      <w:r w:rsidRPr="0042760A">
        <w:t>2009</w:t>
      </w:r>
      <w:r>
        <w:t>. “</w:t>
      </w:r>
      <w:r w:rsidRPr="0042760A">
        <w:rPr>
          <w:bCs/>
          <w:lang w:eastAsia="en-US"/>
        </w:rPr>
        <w:t>Financial Stability Forum Issues Recommendations and Principles</w:t>
      </w:r>
      <w:r>
        <w:rPr>
          <w:bCs/>
          <w:lang w:eastAsia="en-US"/>
        </w:rPr>
        <w:t xml:space="preserve"> </w:t>
      </w:r>
      <w:r w:rsidRPr="0042760A">
        <w:rPr>
          <w:bCs/>
          <w:lang w:eastAsia="en-US"/>
        </w:rPr>
        <w:t>to Strengthen Financial Systems</w:t>
      </w:r>
      <w:r>
        <w:rPr>
          <w:bCs/>
          <w:lang w:eastAsia="en-US"/>
        </w:rPr>
        <w:t>,” Press Release, April 2.</w:t>
      </w:r>
    </w:p>
    <w:p w:rsidR="0042760A" w:rsidRDefault="0042760A" w:rsidP="003259F6">
      <w:pPr>
        <w:pStyle w:val="Default"/>
        <w:ind w:left="720" w:hanging="720"/>
        <w:rPr>
          <w:rFonts w:ascii="Times New Roman" w:hAnsi="Times New Roman" w:cs="Times New Roman"/>
          <w:color w:val="auto"/>
          <w:lang w:eastAsia="zh-CN"/>
        </w:rPr>
      </w:pPr>
    </w:p>
    <w:p w:rsidR="0013133D" w:rsidRPr="0013133D" w:rsidRDefault="0013133D" w:rsidP="003259F6">
      <w:pPr>
        <w:pStyle w:val="Default"/>
        <w:ind w:left="720" w:hanging="720"/>
        <w:rPr>
          <w:rFonts w:ascii="Times New Roman" w:hAnsi="Times New Roman" w:cs="Times New Roman"/>
          <w:bCs/>
          <w:color w:val="auto"/>
        </w:rPr>
      </w:pPr>
      <w:r w:rsidRPr="0013133D">
        <w:rPr>
          <w:rFonts w:ascii="Times New Roman" w:hAnsi="Times New Roman" w:cs="Times New Roman"/>
          <w:color w:val="auto"/>
          <w:lang w:eastAsia="zh-CN"/>
        </w:rPr>
        <w:t>Flannery, M., and C. James. 1984. Market Evidence on the Effective Maturity of Bank Assets and Liabilities. Journal of Money, Credit and Banking 16, no. 4: 435-445. </w:t>
      </w:r>
    </w:p>
    <w:p w:rsidR="0013133D" w:rsidRPr="0013133D" w:rsidRDefault="0013133D" w:rsidP="003B0086">
      <w:pPr>
        <w:pStyle w:val="Default"/>
        <w:ind w:left="720" w:hanging="480"/>
        <w:rPr>
          <w:rFonts w:ascii="Times New Roman" w:hAnsi="Times New Roman" w:cs="Times New Roman"/>
          <w:bCs/>
          <w:color w:val="auto"/>
        </w:rPr>
      </w:pPr>
    </w:p>
    <w:p w:rsidR="00BF16BF" w:rsidRPr="00BF16BF" w:rsidRDefault="003A158F" w:rsidP="003259F6">
      <w:pPr>
        <w:pStyle w:val="Default"/>
        <w:ind w:left="720" w:hanging="720"/>
        <w:rPr>
          <w:rFonts w:ascii="Times New Roman" w:hAnsi="Times New Roman" w:cs="Times New Roman"/>
        </w:rPr>
      </w:pPr>
      <w:r>
        <w:rPr>
          <w:rFonts w:ascii="Times New Roman" w:hAnsi="Times New Roman" w:cs="Times New Roman"/>
          <w:bCs/>
        </w:rPr>
        <w:lastRenderedPageBreak/>
        <w:t xml:space="preserve">GAO. </w:t>
      </w:r>
      <w:r w:rsidR="00BF16BF" w:rsidRPr="00BF16BF">
        <w:rPr>
          <w:rFonts w:ascii="Times New Roman" w:hAnsi="Times New Roman" w:cs="Times New Roman"/>
          <w:bCs/>
        </w:rPr>
        <w:t>2009</w:t>
      </w:r>
      <w:r>
        <w:rPr>
          <w:rFonts w:ascii="Times New Roman" w:hAnsi="Times New Roman" w:cs="Times New Roman"/>
          <w:bCs/>
        </w:rPr>
        <w:t>.</w:t>
      </w:r>
      <w:r w:rsidR="00BF16BF" w:rsidRPr="00BF16BF">
        <w:rPr>
          <w:rFonts w:ascii="Times New Roman" w:hAnsi="Times New Roman" w:cs="Times New Roman"/>
          <w:bCs/>
        </w:rPr>
        <w:t xml:space="preserve"> </w:t>
      </w:r>
      <w:r w:rsidR="00BF16BF" w:rsidRPr="00BF16BF">
        <w:rPr>
          <w:rFonts w:ascii="Times New Roman" w:hAnsi="Times New Roman" w:cs="Times New Roman"/>
        </w:rPr>
        <w:t>Financial Crisis Highlights Need to Improve Oversight of Leverage at Financial Institutions and across System</w:t>
      </w:r>
      <w:r w:rsidR="001B2BBC">
        <w:rPr>
          <w:rFonts w:ascii="Times New Roman" w:hAnsi="Times New Roman" w:cs="Times New Roman"/>
        </w:rPr>
        <w:t>.</w:t>
      </w:r>
      <w:r w:rsidR="00BF16BF">
        <w:rPr>
          <w:rFonts w:ascii="Times New Roman" w:hAnsi="Times New Roman" w:cs="Times New Roman"/>
        </w:rPr>
        <w:t xml:space="preserve"> July</w:t>
      </w:r>
      <w:r>
        <w:rPr>
          <w:rFonts w:ascii="Times New Roman" w:hAnsi="Times New Roman" w:cs="Times New Roman"/>
        </w:rPr>
        <w:t xml:space="preserve">: </w:t>
      </w:r>
      <w:r w:rsidR="00BF16BF">
        <w:rPr>
          <w:rFonts w:ascii="Times New Roman" w:hAnsi="Times New Roman" w:cs="Times New Roman"/>
        </w:rPr>
        <w:t>09-739.</w:t>
      </w:r>
      <w:r w:rsidR="00BF16BF" w:rsidRPr="00BF16BF">
        <w:rPr>
          <w:rFonts w:ascii="Times New Roman" w:hAnsi="Times New Roman" w:cs="Times New Roman"/>
        </w:rPr>
        <w:t xml:space="preserve"> </w:t>
      </w:r>
    </w:p>
    <w:p w:rsidR="00BF16BF" w:rsidRDefault="00BF16BF" w:rsidP="003B0086">
      <w:pPr>
        <w:autoSpaceDE w:val="0"/>
        <w:autoSpaceDN w:val="0"/>
        <w:adjustRightInd w:val="0"/>
        <w:ind w:left="720" w:hanging="480"/>
        <w:rPr>
          <w:bCs/>
        </w:rPr>
      </w:pPr>
    </w:p>
    <w:p w:rsidR="00E776EA" w:rsidRDefault="00E776EA" w:rsidP="0042760A">
      <w:pPr>
        <w:autoSpaceDE w:val="0"/>
        <w:autoSpaceDN w:val="0"/>
        <w:adjustRightInd w:val="0"/>
        <w:ind w:left="720" w:hanging="720"/>
        <w:rPr>
          <w:bCs/>
        </w:rPr>
      </w:pPr>
      <w:r>
        <w:rPr>
          <w:bCs/>
        </w:rPr>
        <w:t>Hodder, L.D, Hopkins, P.E. and Wahlen, J.W. 2006</w:t>
      </w:r>
      <w:r w:rsidR="003A158F">
        <w:rPr>
          <w:bCs/>
        </w:rPr>
        <w:t>.</w:t>
      </w:r>
      <w:r>
        <w:rPr>
          <w:bCs/>
        </w:rPr>
        <w:t xml:space="preserve"> Risk-relevance of fair-value income measures for commercial banks</w:t>
      </w:r>
      <w:r w:rsidR="003A158F">
        <w:rPr>
          <w:bCs/>
        </w:rPr>
        <w:t>.</w:t>
      </w:r>
      <w:r>
        <w:rPr>
          <w:bCs/>
        </w:rPr>
        <w:t xml:space="preserve"> The Accounting Review, 81(2): 337-375.</w:t>
      </w:r>
    </w:p>
    <w:p w:rsidR="00E776EA" w:rsidRDefault="00E776EA" w:rsidP="003B0086">
      <w:pPr>
        <w:autoSpaceDE w:val="0"/>
        <w:autoSpaceDN w:val="0"/>
        <w:adjustRightInd w:val="0"/>
        <w:ind w:left="720" w:hanging="480"/>
        <w:rPr>
          <w:bCs/>
        </w:rPr>
      </w:pPr>
    </w:p>
    <w:p w:rsidR="00C24489" w:rsidRPr="00C24489" w:rsidRDefault="00C24489" w:rsidP="0042760A">
      <w:pPr>
        <w:autoSpaceDE w:val="0"/>
        <w:autoSpaceDN w:val="0"/>
        <w:adjustRightInd w:val="0"/>
        <w:ind w:left="720" w:hanging="720"/>
      </w:pPr>
      <w:r>
        <w:rPr>
          <w:bCs/>
        </w:rPr>
        <w:t>Landsman, W</w:t>
      </w:r>
      <w:r w:rsidR="00B25A5D">
        <w:rPr>
          <w:bCs/>
        </w:rPr>
        <w:t>.R</w:t>
      </w:r>
      <w:r w:rsidR="003A158F">
        <w:rPr>
          <w:bCs/>
        </w:rPr>
        <w:t>.</w:t>
      </w:r>
      <w:r>
        <w:rPr>
          <w:bCs/>
        </w:rPr>
        <w:t xml:space="preserve"> 2007</w:t>
      </w:r>
      <w:r w:rsidR="003A158F">
        <w:rPr>
          <w:bCs/>
        </w:rPr>
        <w:t>.</w:t>
      </w:r>
      <w:r>
        <w:rPr>
          <w:bCs/>
        </w:rPr>
        <w:t xml:space="preserve"> </w:t>
      </w:r>
      <w:r w:rsidRPr="00C24489">
        <w:rPr>
          <w:bCs/>
        </w:rPr>
        <w:t>Is fair value accounting information</w:t>
      </w:r>
      <w:r>
        <w:rPr>
          <w:bCs/>
        </w:rPr>
        <w:t xml:space="preserve"> </w:t>
      </w:r>
      <w:r w:rsidRPr="00C24489">
        <w:rPr>
          <w:bCs/>
        </w:rPr>
        <w:t>relevant and reliable? Evidence from</w:t>
      </w:r>
      <w:r>
        <w:rPr>
          <w:bCs/>
        </w:rPr>
        <w:t xml:space="preserve"> </w:t>
      </w:r>
      <w:r w:rsidRPr="00C24489">
        <w:rPr>
          <w:bCs/>
        </w:rPr>
        <w:t>capital market research</w:t>
      </w:r>
      <w:r w:rsidR="003A158F">
        <w:rPr>
          <w:bCs/>
        </w:rPr>
        <w:t>.</w:t>
      </w:r>
      <w:r w:rsidRPr="00C24489">
        <w:rPr>
          <w:i/>
          <w:iCs/>
        </w:rPr>
        <w:t xml:space="preserve"> Accounting and Business Research </w:t>
      </w:r>
      <w:r w:rsidRPr="00C24489">
        <w:t>Special Issue: Intern</w:t>
      </w:r>
      <w:r w:rsidR="00E776EA">
        <w:t>ational Accounting Policy Forum:</w:t>
      </w:r>
      <w:r w:rsidRPr="00C24489">
        <w:t xml:space="preserve"> 19-30</w:t>
      </w:r>
      <w:r>
        <w:t>.</w:t>
      </w:r>
    </w:p>
    <w:p w:rsidR="00C24489" w:rsidRPr="00C24489" w:rsidRDefault="00C24489" w:rsidP="003B0086">
      <w:pPr>
        <w:autoSpaceDE w:val="0"/>
        <w:autoSpaceDN w:val="0"/>
        <w:adjustRightInd w:val="0"/>
        <w:ind w:hanging="480"/>
      </w:pPr>
    </w:p>
    <w:p w:rsidR="00A92E0C" w:rsidRDefault="0024589F" w:rsidP="0042760A">
      <w:pPr>
        <w:ind w:left="720" w:hanging="720"/>
      </w:pPr>
      <w:r>
        <w:t>Wor</w:t>
      </w:r>
      <w:r w:rsidR="00FA3A96">
        <w:t>ld Bank</w:t>
      </w:r>
      <w:r w:rsidR="003A158F">
        <w:t>.</w:t>
      </w:r>
      <w:r w:rsidR="00FA3A96">
        <w:t xml:space="preserve"> 2009</w:t>
      </w:r>
      <w:r w:rsidR="003A158F">
        <w:t>.</w:t>
      </w:r>
      <w:r w:rsidR="00FA3A96">
        <w:t xml:space="preserve"> Background Note: Banking and the Leverage Ratio</w:t>
      </w:r>
      <w:r w:rsidR="003A158F">
        <w:t>.</w:t>
      </w:r>
      <w:r w:rsidR="00FA3A96">
        <w:t xml:space="preserve"> </w:t>
      </w:r>
      <w:hyperlink r:id="rId10" w:history="1">
        <w:r w:rsidR="00FA3A96" w:rsidRPr="00846D7C">
          <w:rPr>
            <w:rStyle w:val="Hyperlink"/>
          </w:rPr>
          <w:t>http://crisistalk.worldbank.org/files/banking and the leverage ratio.pdf</w:t>
        </w:r>
      </w:hyperlink>
      <w:r w:rsidR="0058497E">
        <w:t xml:space="preserve"> last accessed 8/31/2009.</w:t>
      </w:r>
      <w:r w:rsidR="002E149F" w:rsidRPr="002E149F">
        <w:br/>
      </w:r>
    </w:p>
    <w:p w:rsidR="00A92E0C" w:rsidRDefault="00A92E0C" w:rsidP="00FA3A96">
      <w:pPr>
        <w:ind w:left="720" w:hanging="720"/>
        <w:sectPr w:rsidR="00A92E0C" w:rsidSect="003B0086">
          <w:footerReference w:type="even" r:id="rId11"/>
          <w:footerReference w:type="default" r:id="rId12"/>
          <w:pgSz w:w="12240" w:h="15840" w:code="1"/>
          <w:pgMar w:top="1440" w:right="1700" w:bottom="1440" w:left="1700" w:header="720" w:footer="720" w:gutter="0"/>
          <w:pgNumType w:start="0"/>
          <w:cols w:space="720"/>
          <w:titlePg/>
          <w:docGrid w:linePitch="360"/>
        </w:sectPr>
      </w:pPr>
    </w:p>
    <w:p w:rsidR="006B2558" w:rsidRDefault="00A92E0C" w:rsidP="00A92E0C">
      <w:pPr>
        <w:jc w:val="center"/>
      </w:pPr>
      <w:r>
        <w:lastRenderedPageBreak/>
        <w:t>Figure 1</w:t>
      </w:r>
    </w:p>
    <w:p w:rsidR="007A1E8E" w:rsidRDefault="007A1E8E" w:rsidP="00A92E0C">
      <w:pPr>
        <w:jc w:val="center"/>
      </w:pPr>
    </w:p>
    <w:p w:rsidR="002C4F55" w:rsidRDefault="002C4F55" w:rsidP="00F8495B"/>
    <w:p w:rsidR="002C4F55" w:rsidRDefault="007A1E8E" w:rsidP="007A1E8E">
      <w:pPr>
        <w:ind w:left="1440"/>
      </w:pPr>
      <w:r w:rsidRPr="007A1E8E">
        <w:rPr>
          <w:noProof/>
          <w:lang w:eastAsia="en-US"/>
        </w:rPr>
        <w:drawing>
          <wp:inline distT="0" distB="0" distL="0" distR="0">
            <wp:extent cx="5943600" cy="304735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43600" cy="3047355"/>
                    </a:xfrm>
                    <a:prstGeom prst="rect">
                      <a:avLst/>
                    </a:prstGeom>
                    <a:noFill/>
                    <a:ln w="9525">
                      <a:noFill/>
                      <a:miter lim="800000"/>
                      <a:headEnd/>
                      <a:tailEnd/>
                    </a:ln>
                  </pic:spPr>
                </pic:pic>
              </a:graphicData>
            </a:graphic>
          </wp:inline>
        </w:drawing>
      </w:r>
    </w:p>
    <w:p w:rsidR="007A1E8E" w:rsidRDefault="007A1E8E">
      <w:r>
        <w:br w:type="page"/>
      </w:r>
    </w:p>
    <w:p w:rsidR="002C4F55" w:rsidRDefault="002C4F55" w:rsidP="00F8495B"/>
    <w:p w:rsidR="002C4F55" w:rsidRDefault="002C4F55" w:rsidP="00F8495B"/>
    <w:p w:rsidR="002C4F55" w:rsidRPr="002E149F" w:rsidRDefault="002C4F55" w:rsidP="00F8495B"/>
    <w:tbl>
      <w:tblPr>
        <w:tblW w:w="12960" w:type="dxa"/>
        <w:tblInd w:w="108" w:type="dxa"/>
        <w:tblLayout w:type="fixed"/>
        <w:tblLook w:val="0000"/>
      </w:tblPr>
      <w:tblGrid>
        <w:gridCol w:w="4560"/>
        <w:gridCol w:w="120"/>
        <w:gridCol w:w="2040"/>
        <w:gridCol w:w="720"/>
        <w:gridCol w:w="1080"/>
        <w:gridCol w:w="1080"/>
        <w:gridCol w:w="960"/>
        <w:gridCol w:w="1080"/>
        <w:gridCol w:w="1320"/>
      </w:tblGrid>
      <w:tr w:rsidR="002C4F55" w:rsidRPr="000664D0" w:rsidTr="002C4F55">
        <w:trPr>
          <w:trHeight w:val="312"/>
        </w:trPr>
        <w:tc>
          <w:tcPr>
            <w:tcW w:w="12960" w:type="dxa"/>
            <w:gridSpan w:val="9"/>
            <w:tcBorders>
              <w:top w:val="nil"/>
              <w:left w:val="nil"/>
              <w:bottom w:val="nil"/>
              <w:right w:val="nil"/>
            </w:tcBorders>
            <w:shd w:val="clear" w:color="auto" w:fill="auto"/>
            <w:vAlign w:val="bottom"/>
          </w:tcPr>
          <w:p w:rsidR="002C4F55" w:rsidRPr="000664D0" w:rsidRDefault="002C4F55" w:rsidP="002C4F55">
            <w:pPr>
              <w:jc w:val="center"/>
              <w:rPr>
                <w:b/>
                <w:bCs/>
                <w:color w:val="000000"/>
              </w:rPr>
            </w:pPr>
            <w:r w:rsidRPr="000664D0">
              <w:rPr>
                <w:b/>
                <w:bCs/>
                <w:color w:val="000000"/>
              </w:rPr>
              <w:t>Table 1</w:t>
            </w:r>
          </w:p>
        </w:tc>
      </w:tr>
      <w:tr w:rsidR="002C4F55" w:rsidRPr="000664D0" w:rsidTr="002C4F55">
        <w:trPr>
          <w:trHeight w:val="312"/>
        </w:trPr>
        <w:tc>
          <w:tcPr>
            <w:tcW w:w="12960" w:type="dxa"/>
            <w:gridSpan w:val="9"/>
            <w:tcBorders>
              <w:top w:val="nil"/>
              <w:left w:val="nil"/>
              <w:bottom w:val="nil"/>
              <w:right w:val="nil"/>
            </w:tcBorders>
            <w:shd w:val="clear" w:color="auto" w:fill="auto"/>
            <w:noWrap/>
            <w:vAlign w:val="bottom"/>
          </w:tcPr>
          <w:p w:rsidR="002C4F55" w:rsidRPr="000664D0" w:rsidRDefault="002C4F55" w:rsidP="002C4F55">
            <w:pPr>
              <w:jc w:val="center"/>
              <w:rPr>
                <w:b/>
                <w:bCs/>
                <w:color w:val="000000"/>
              </w:rPr>
            </w:pPr>
            <w:r w:rsidRPr="000664D0">
              <w:rPr>
                <w:b/>
                <w:bCs/>
                <w:color w:val="000000"/>
              </w:rPr>
              <w:t>Descriptive Statistics - 1,0</w:t>
            </w:r>
            <w:r w:rsidR="00EB7136">
              <w:rPr>
                <w:b/>
                <w:bCs/>
                <w:color w:val="000000"/>
              </w:rPr>
              <w:t>46</w:t>
            </w:r>
            <w:r w:rsidRPr="000664D0">
              <w:rPr>
                <w:b/>
                <w:bCs/>
                <w:color w:val="000000"/>
              </w:rPr>
              <w:t xml:space="preserve"> Bank Holding Companies, from 1992 - 2008</w:t>
            </w:r>
          </w:p>
        </w:tc>
      </w:tr>
      <w:tr w:rsidR="002C4F55" w:rsidRPr="000664D0" w:rsidTr="0026660A">
        <w:trPr>
          <w:trHeight w:val="312"/>
        </w:trPr>
        <w:tc>
          <w:tcPr>
            <w:tcW w:w="4560" w:type="dxa"/>
            <w:tcBorders>
              <w:top w:val="nil"/>
              <w:left w:val="nil"/>
              <w:bottom w:val="single" w:sz="4" w:space="0" w:color="auto"/>
              <w:right w:val="nil"/>
            </w:tcBorders>
            <w:shd w:val="clear" w:color="auto" w:fill="auto"/>
            <w:vAlign w:val="bottom"/>
          </w:tcPr>
          <w:p w:rsidR="002C4F55" w:rsidRPr="000664D0" w:rsidRDefault="002C4F55" w:rsidP="002C4F55">
            <w:pPr>
              <w:rPr>
                <w:b/>
                <w:bCs/>
                <w:color w:val="000000"/>
              </w:rPr>
            </w:pPr>
            <w:r w:rsidRPr="000664D0">
              <w:rPr>
                <w:b/>
                <w:bCs/>
                <w:color w:val="000000"/>
              </w:rPr>
              <w:t>Variable</w:t>
            </w:r>
          </w:p>
        </w:tc>
        <w:tc>
          <w:tcPr>
            <w:tcW w:w="2160" w:type="dxa"/>
            <w:gridSpan w:val="2"/>
            <w:tcBorders>
              <w:top w:val="nil"/>
              <w:left w:val="nil"/>
              <w:bottom w:val="single" w:sz="4" w:space="0" w:color="auto"/>
              <w:right w:val="nil"/>
            </w:tcBorders>
            <w:shd w:val="clear" w:color="auto" w:fill="auto"/>
            <w:vAlign w:val="bottom"/>
          </w:tcPr>
          <w:p w:rsidR="002C4F55" w:rsidRPr="000664D0" w:rsidRDefault="002C4F55" w:rsidP="002C4F55">
            <w:pPr>
              <w:rPr>
                <w:b/>
                <w:bCs/>
                <w:color w:val="000000"/>
              </w:rPr>
            </w:pPr>
            <w:r w:rsidRPr="000664D0">
              <w:rPr>
                <w:b/>
                <w:bCs/>
                <w:color w:val="000000"/>
              </w:rPr>
              <w:t> </w:t>
            </w:r>
          </w:p>
        </w:tc>
        <w:tc>
          <w:tcPr>
            <w:tcW w:w="720" w:type="dxa"/>
            <w:tcBorders>
              <w:top w:val="nil"/>
              <w:left w:val="nil"/>
              <w:bottom w:val="single" w:sz="4" w:space="0" w:color="auto"/>
              <w:right w:val="nil"/>
            </w:tcBorders>
            <w:shd w:val="clear" w:color="auto" w:fill="auto"/>
            <w:noWrap/>
            <w:vAlign w:val="bottom"/>
          </w:tcPr>
          <w:p w:rsidR="002C4F55" w:rsidRPr="000664D0" w:rsidRDefault="002C4F55" w:rsidP="00CD1C8D">
            <w:pPr>
              <w:jc w:val="center"/>
              <w:rPr>
                <w:b/>
                <w:bCs/>
                <w:color w:val="000000"/>
              </w:rPr>
            </w:pPr>
            <w:r w:rsidRPr="000664D0">
              <w:rPr>
                <w:b/>
                <w:bCs/>
                <w:color w:val="000000"/>
              </w:rPr>
              <w:t>N</w:t>
            </w:r>
          </w:p>
        </w:tc>
        <w:tc>
          <w:tcPr>
            <w:tcW w:w="1080" w:type="dxa"/>
            <w:tcBorders>
              <w:top w:val="nil"/>
              <w:left w:val="nil"/>
              <w:bottom w:val="single" w:sz="4" w:space="0" w:color="auto"/>
              <w:right w:val="nil"/>
            </w:tcBorders>
            <w:shd w:val="clear" w:color="auto" w:fill="auto"/>
            <w:noWrap/>
            <w:vAlign w:val="bottom"/>
          </w:tcPr>
          <w:p w:rsidR="002C4F55" w:rsidRPr="000664D0" w:rsidRDefault="002C4F55" w:rsidP="00CD1C8D">
            <w:pPr>
              <w:jc w:val="center"/>
              <w:rPr>
                <w:b/>
                <w:bCs/>
                <w:color w:val="000000"/>
              </w:rPr>
            </w:pPr>
            <w:r w:rsidRPr="000664D0">
              <w:rPr>
                <w:b/>
                <w:bCs/>
                <w:color w:val="000000"/>
              </w:rPr>
              <w:t>Mean</w:t>
            </w:r>
          </w:p>
        </w:tc>
        <w:tc>
          <w:tcPr>
            <w:tcW w:w="1080" w:type="dxa"/>
            <w:tcBorders>
              <w:top w:val="nil"/>
              <w:left w:val="nil"/>
              <w:bottom w:val="single" w:sz="4" w:space="0" w:color="auto"/>
              <w:right w:val="nil"/>
            </w:tcBorders>
            <w:shd w:val="clear" w:color="auto" w:fill="auto"/>
            <w:noWrap/>
            <w:vAlign w:val="bottom"/>
          </w:tcPr>
          <w:p w:rsidR="002C4F55" w:rsidRPr="000664D0" w:rsidRDefault="002C4F55" w:rsidP="00CD1C8D">
            <w:pPr>
              <w:jc w:val="center"/>
              <w:rPr>
                <w:b/>
                <w:bCs/>
                <w:color w:val="000000"/>
              </w:rPr>
            </w:pPr>
            <w:r w:rsidRPr="000664D0">
              <w:rPr>
                <w:b/>
                <w:bCs/>
                <w:color w:val="000000"/>
              </w:rPr>
              <w:t>Std Dev</w:t>
            </w:r>
          </w:p>
        </w:tc>
        <w:tc>
          <w:tcPr>
            <w:tcW w:w="960" w:type="dxa"/>
            <w:tcBorders>
              <w:top w:val="nil"/>
              <w:left w:val="nil"/>
              <w:bottom w:val="single" w:sz="4" w:space="0" w:color="auto"/>
              <w:right w:val="nil"/>
            </w:tcBorders>
            <w:shd w:val="clear" w:color="auto" w:fill="auto"/>
            <w:noWrap/>
            <w:vAlign w:val="bottom"/>
          </w:tcPr>
          <w:p w:rsidR="002C4F55" w:rsidRPr="000664D0" w:rsidRDefault="00CD1C8D" w:rsidP="00CD1C8D">
            <w:pPr>
              <w:jc w:val="center"/>
              <w:rPr>
                <w:b/>
                <w:bCs/>
                <w:color w:val="000000"/>
              </w:rPr>
            </w:pPr>
            <w:r>
              <w:rPr>
                <w:b/>
                <w:bCs/>
                <w:color w:val="000000"/>
              </w:rPr>
              <w:t>P25</w:t>
            </w:r>
          </w:p>
        </w:tc>
        <w:tc>
          <w:tcPr>
            <w:tcW w:w="1080" w:type="dxa"/>
            <w:tcBorders>
              <w:top w:val="nil"/>
              <w:left w:val="nil"/>
              <w:bottom w:val="single" w:sz="4" w:space="0" w:color="auto"/>
              <w:right w:val="nil"/>
            </w:tcBorders>
            <w:shd w:val="clear" w:color="auto" w:fill="auto"/>
            <w:noWrap/>
            <w:vAlign w:val="bottom"/>
          </w:tcPr>
          <w:p w:rsidR="002C4F55" w:rsidRPr="000664D0" w:rsidRDefault="002C4F55" w:rsidP="00CD1C8D">
            <w:pPr>
              <w:jc w:val="center"/>
              <w:rPr>
                <w:b/>
                <w:bCs/>
                <w:color w:val="000000"/>
              </w:rPr>
            </w:pPr>
            <w:r w:rsidRPr="000664D0">
              <w:rPr>
                <w:b/>
                <w:bCs/>
                <w:color w:val="000000"/>
              </w:rPr>
              <w:t>Median</w:t>
            </w:r>
          </w:p>
        </w:tc>
        <w:tc>
          <w:tcPr>
            <w:tcW w:w="1320" w:type="dxa"/>
            <w:tcBorders>
              <w:top w:val="nil"/>
              <w:left w:val="nil"/>
              <w:bottom w:val="single" w:sz="4" w:space="0" w:color="auto"/>
              <w:right w:val="nil"/>
            </w:tcBorders>
            <w:shd w:val="clear" w:color="auto" w:fill="auto"/>
            <w:noWrap/>
            <w:vAlign w:val="bottom"/>
          </w:tcPr>
          <w:p w:rsidR="002C4F55" w:rsidRPr="000664D0" w:rsidRDefault="00CD1C8D" w:rsidP="00CD1C8D">
            <w:pPr>
              <w:jc w:val="center"/>
              <w:rPr>
                <w:b/>
                <w:bCs/>
                <w:color w:val="000000"/>
              </w:rPr>
            </w:pPr>
            <w:r>
              <w:rPr>
                <w:b/>
                <w:bCs/>
                <w:color w:val="000000"/>
              </w:rPr>
              <w:t>P75</w:t>
            </w:r>
          </w:p>
        </w:tc>
      </w:tr>
      <w:tr w:rsidR="00EB7136" w:rsidRPr="000664D0" w:rsidTr="0026660A">
        <w:trPr>
          <w:trHeight w:val="312"/>
        </w:trPr>
        <w:tc>
          <w:tcPr>
            <w:tcW w:w="456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Number of Years (per BHC)</w:t>
            </w:r>
          </w:p>
        </w:tc>
        <w:tc>
          <w:tcPr>
            <w:tcW w:w="2160" w:type="dxa"/>
            <w:gridSpan w:val="2"/>
            <w:tcBorders>
              <w:top w:val="nil"/>
              <w:left w:val="nil"/>
              <w:bottom w:val="nil"/>
              <w:right w:val="nil"/>
            </w:tcBorders>
            <w:shd w:val="clear" w:color="auto" w:fill="auto"/>
            <w:vAlign w:val="bottom"/>
          </w:tcPr>
          <w:p w:rsidR="00EB7136" w:rsidRPr="000664D0" w:rsidRDefault="00EB7136" w:rsidP="002C4F55">
            <w:pPr>
              <w:rPr>
                <w:color w:val="000000"/>
              </w:rPr>
            </w:pPr>
          </w:p>
        </w:tc>
        <w:tc>
          <w:tcPr>
            <w:tcW w:w="720" w:type="dxa"/>
            <w:tcBorders>
              <w:top w:val="nil"/>
              <w:left w:val="nil"/>
              <w:bottom w:val="nil"/>
              <w:right w:val="nil"/>
            </w:tcBorders>
            <w:shd w:val="clear" w:color="auto" w:fill="auto"/>
            <w:noWrap/>
            <w:vAlign w:val="bottom"/>
          </w:tcPr>
          <w:p w:rsidR="00EB7136" w:rsidRPr="00EB7136" w:rsidRDefault="00EB7136" w:rsidP="00EB7136">
            <w:pPr>
              <w:jc w:val="center"/>
              <w:rPr>
                <w:color w:val="000000"/>
              </w:rPr>
            </w:pPr>
            <w:r w:rsidRPr="00EB7136">
              <w:rPr>
                <w:color w:val="000000"/>
              </w:rPr>
              <w:t>1046</w:t>
            </w:r>
          </w:p>
        </w:tc>
        <w:tc>
          <w:tcPr>
            <w:tcW w:w="1080" w:type="dxa"/>
            <w:tcBorders>
              <w:top w:val="nil"/>
              <w:left w:val="nil"/>
              <w:bottom w:val="nil"/>
              <w:right w:val="nil"/>
            </w:tcBorders>
            <w:shd w:val="clear" w:color="auto" w:fill="auto"/>
            <w:noWrap/>
            <w:vAlign w:val="bottom"/>
          </w:tcPr>
          <w:p w:rsidR="00EB7136" w:rsidRPr="00EB7136" w:rsidRDefault="00EB7136" w:rsidP="00EB7136">
            <w:pPr>
              <w:jc w:val="center"/>
              <w:rPr>
                <w:color w:val="000000"/>
              </w:rPr>
            </w:pPr>
            <w:r w:rsidRPr="00EB7136">
              <w:rPr>
                <w:color w:val="000000"/>
              </w:rPr>
              <w:t>8.374</w:t>
            </w:r>
          </w:p>
        </w:tc>
        <w:tc>
          <w:tcPr>
            <w:tcW w:w="1080" w:type="dxa"/>
            <w:tcBorders>
              <w:top w:val="nil"/>
              <w:left w:val="nil"/>
              <w:bottom w:val="nil"/>
              <w:right w:val="nil"/>
            </w:tcBorders>
            <w:shd w:val="clear" w:color="auto" w:fill="auto"/>
            <w:noWrap/>
            <w:vAlign w:val="bottom"/>
          </w:tcPr>
          <w:p w:rsidR="00EB7136" w:rsidRPr="00EB7136" w:rsidRDefault="00EB7136" w:rsidP="00EB7136">
            <w:pPr>
              <w:jc w:val="center"/>
              <w:rPr>
                <w:color w:val="000000"/>
              </w:rPr>
            </w:pPr>
            <w:r w:rsidRPr="00EB7136">
              <w:rPr>
                <w:color w:val="000000"/>
              </w:rPr>
              <w:t>4.248</w:t>
            </w:r>
          </w:p>
        </w:tc>
        <w:tc>
          <w:tcPr>
            <w:tcW w:w="960" w:type="dxa"/>
            <w:tcBorders>
              <w:top w:val="nil"/>
              <w:left w:val="nil"/>
              <w:bottom w:val="nil"/>
              <w:right w:val="nil"/>
            </w:tcBorders>
            <w:shd w:val="clear" w:color="auto" w:fill="auto"/>
            <w:noWrap/>
            <w:vAlign w:val="bottom"/>
          </w:tcPr>
          <w:p w:rsidR="00EB7136" w:rsidRPr="00EB7136" w:rsidRDefault="00EB7136" w:rsidP="00EB7136">
            <w:pPr>
              <w:jc w:val="center"/>
              <w:rPr>
                <w:color w:val="000000"/>
              </w:rPr>
            </w:pPr>
            <w:r w:rsidRPr="00EB7136">
              <w:rPr>
                <w:color w:val="000000"/>
              </w:rPr>
              <w:t>5</w:t>
            </w:r>
          </w:p>
        </w:tc>
        <w:tc>
          <w:tcPr>
            <w:tcW w:w="1080" w:type="dxa"/>
            <w:tcBorders>
              <w:top w:val="nil"/>
              <w:left w:val="nil"/>
              <w:bottom w:val="nil"/>
              <w:right w:val="nil"/>
            </w:tcBorders>
            <w:shd w:val="clear" w:color="auto" w:fill="auto"/>
            <w:noWrap/>
            <w:vAlign w:val="bottom"/>
          </w:tcPr>
          <w:p w:rsidR="00EB7136" w:rsidRPr="00EB7136" w:rsidRDefault="00EB7136" w:rsidP="00EB7136">
            <w:pPr>
              <w:jc w:val="center"/>
              <w:rPr>
                <w:color w:val="000000"/>
              </w:rPr>
            </w:pPr>
            <w:r w:rsidRPr="00EB7136">
              <w:rPr>
                <w:color w:val="000000"/>
              </w:rPr>
              <w:t>7</w:t>
            </w:r>
          </w:p>
        </w:tc>
        <w:tc>
          <w:tcPr>
            <w:tcW w:w="1320" w:type="dxa"/>
            <w:tcBorders>
              <w:top w:val="nil"/>
              <w:left w:val="nil"/>
              <w:bottom w:val="nil"/>
              <w:right w:val="nil"/>
            </w:tcBorders>
            <w:shd w:val="clear" w:color="auto" w:fill="auto"/>
            <w:noWrap/>
            <w:vAlign w:val="bottom"/>
          </w:tcPr>
          <w:p w:rsidR="00EB7136" w:rsidRPr="00EB7136" w:rsidRDefault="00EB7136" w:rsidP="00EB7136">
            <w:pPr>
              <w:jc w:val="center"/>
              <w:rPr>
                <w:color w:val="000000"/>
              </w:rPr>
            </w:pPr>
            <w:r w:rsidRPr="00EB7136">
              <w:rPr>
                <w:color w:val="000000"/>
              </w:rPr>
              <w:t>12</w:t>
            </w:r>
          </w:p>
        </w:tc>
      </w:tr>
      <w:tr w:rsidR="00EB7136" w:rsidRPr="000664D0" w:rsidTr="0026660A">
        <w:trPr>
          <w:trHeight w:val="312"/>
        </w:trPr>
        <w:tc>
          <w:tcPr>
            <w:tcW w:w="456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Total reported assets (in </w:t>
            </w:r>
            <w:r>
              <w:rPr>
                <w:color w:val="000000"/>
              </w:rPr>
              <w:t>millions</w:t>
            </w:r>
            <w:r w:rsidRPr="000664D0">
              <w:rPr>
                <w:color w:val="000000"/>
              </w:rPr>
              <w:t>)</w:t>
            </w:r>
          </w:p>
        </w:tc>
        <w:tc>
          <w:tcPr>
            <w:tcW w:w="2160" w:type="dxa"/>
            <w:gridSpan w:val="2"/>
            <w:tcBorders>
              <w:top w:val="nil"/>
              <w:left w:val="nil"/>
              <w:bottom w:val="nil"/>
              <w:right w:val="nil"/>
            </w:tcBorders>
            <w:shd w:val="clear" w:color="auto" w:fill="auto"/>
            <w:vAlign w:val="bottom"/>
          </w:tcPr>
          <w:p w:rsidR="00EB7136" w:rsidRPr="000664D0" w:rsidRDefault="00EB7136" w:rsidP="002C4F55">
            <w:pPr>
              <w:rPr>
                <w:color w:val="000000"/>
              </w:rPr>
            </w:pP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10,385 </w:t>
            </w:r>
          </w:p>
        </w:tc>
        <w:tc>
          <w:tcPr>
            <w:tcW w:w="108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80,287 </w:t>
            </w:r>
          </w:p>
        </w:tc>
        <w:tc>
          <w:tcPr>
            <w:tcW w:w="96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345 </w:t>
            </w:r>
          </w:p>
        </w:tc>
        <w:tc>
          <w:tcPr>
            <w:tcW w:w="108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677 </w:t>
            </w:r>
          </w:p>
        </w:tc>
        <w:tc>
          <w:tcPr>
            <w:tcW w:w="132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1,889 </w:t>
            </w:r>
          </w:p>
        </w:tc>
      </w:tr>
      <w:tr w:rsidR="00EB7136" w:rsidRPr="000664D0" w:rsidTr="0026660A">
        <w:trPr>
          <w:trHeight w:val="312"/>
        </w:trPr>
        <w:tc>
          <w:tcPr>
            <w:tcW w:w="456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Total reported liabilities (in </w:t>
            </w:r>
            <w:r>
              <w:rPr>
                <w:color w:val="000000"/>
              </w:rPr>
              <w:t>millions</w:t>
            </w:r>
            <w:r w:rsidRPr="000664D0">
              <w:rPr>
                <w:color w:val="000000"/>
              </w:rPr>
              <w:t>)</w:t>
            </w:r>
          </w:p>
        </w:tc>
        <w:tc>
          <w:tcPr>
            <w:tcW w:w="2160" w:type="dxa"/>
            <w:gridSpan w:val="2"/>
            <w:tcBorders>
              <w:top w:val="nil"/>
              <w:left w:val="nil"/>
              <w:bottom w:val="nil"/>
              <w:right w:val="nil"/>
            </w:tcBorders>
            <w:shd w:val="clear" w:color="auto" w:fill="auto"/>
            <w:vAlign w:val="bottom"/>
          </w:tcPr>
          <w:p w:rsidR="00EB7136" w:rsidRPr="000664D0" w:rsidRDefault="00EB7136" w:rsidP="002C4F55">
            <w:pPr>
              <w:rPr>
                <w:color w:val="000000"/>
              </w:rPr>
            </w:pP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9,535 </w:t>
            </w:r>
          </w:p>
        </w:tc>
        <w:tc>
          <w:tcPr>
            <w:tcW w:w="108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74,066 </w:t>
            </w:r>
          </w:p>
        </w:tc>
        <w:tc>
          <w:tcPr>
            <w:tcW w:w="96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312 </w:t>
            </w:r>
          </w:p>
        </w:tc>
        <w:tc>
          <w:tcPr>
            <w:tcW w:w="108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619 </w:t>
            </w:r>
          </w:p>
        </w:tc>
        <w:tc>
          <w:tcPr>
            <w:tcW w:w="1320" w:type="dxa"/>
            <w:tcBorders>
              <w:top w:val="nil"/>
              <w:left w:val="nil"/>
              <w:bottom w:val="nil"/>
              <w:right w:val="nil"/>
            </w:tcBorders>
            <w:shd w:val="clear" w:color="auto" w:fill="auto"/>
            <w:noWrap/>
            <w:vAlign w:val="bottom"/>
          </w:tcPr>
          <w:p w:rsidR="00EB7136" w:rsidRPr="00EB7136" w:rsidRDefault="00EB7136">
            <w:pPr>
              <w:rPr>
                <w:color w:val="000000"/>
              </w:rPr>
            </w:pPr>
            <w:r w:rsidRPr="00EB7136">
              <w:rPr>
                <w:color w:val="000000"/>
              </w:rPr>
              <w:t xml:space="preserve">  1,726 </w:t>
            </w:r>
          </w:p>
        </w:tc>
      </w:tr>
      <w:tr w:rsidR="002C4F55" w:rsidRPr="000664D0" w:rsidTr="002C4F55">
        <w:trPr>
          <w:trHeight w:val="312"/>
        </w:trPr>
        <w:tc>
          <w:tcPr>
            <w:tcW w:w="12960" w:type="dxa"/>
            <w:gridSpan w:val="9"/>
            <w:tcBorders>
              <w:top w:val="nil"/>
              <w:left w:val="nil"/>
              <w:bottom w:val="nil"/>
              <w:right w:val="nil"/>
            </w:tcBorders>
            <w:shd w:val="clear" w:color="auto" w:fill="auto"/>
            <w:vAlign w:val="bottom"/>
          </w:tcPr>
          <w:p w:rsidR="002C4F55" w:rsidRPr="000664D0" w:rsidRDefault="002C4F55" w:rsidP="002C4F55">
            <w:pPr>
              <w:jc w:val="center"/>
              <w:rPr>
                <w:color w:val="000000"/>
              </w:rPr>
            </w:pPr>
          </w:p>
        </w:tc>
      </w:tr>
      <w:tr w:rsidR="002C4F55" w:rsidRPr="000664D0" w:rsidTr="0026660A">
        <w:trPr>
          <w:trHeight w:val="624"/>
        </w:trPr>
        <w:tc>
          <w:tcPr>
            <w:tcW w:w="4680" w:type="dxa"/>
            <w:gridSpan w:val="2"/>
            <w:tcBorders>
              <w:top w:val="nil"/>
              <w:left w:val="nil"/>
              <w:bottom w:val="nil"/>
              <w:right w:val="nil"/>
            </w:tcBorders>
            <w:shd w:val="clear" w:color="auto" w:fill="auto"/>
            <w:vAlign w:val="bottom"/>
          </w:tcPr>
          <w:p w:rsidR="002C4F55" w:rsidRPr="000664D0" w:rsidRDefault="002C4F55" w:rsidP="002C4F55">
            <w:pPr>
              <w:jc w:val="center"/>
              <w:rPr>
                <w:b/>
                <w:bCs/>
                <w:color w:val="000000"/>
              </w:rPr>
            </w:pPr>
            <w:r w:rsidRPr="000664D0">
              <w:rPr>
                <w:b/>
                <w:bCs/>
                <w:color w:val="000000"/>
              </w:rPr>
              <w:t>Leverage Measures</w:t>
            </w:r>
          </w:p>
          <w:p w:rsidR="00623514" w:rsidRPr="000664D0" w:rsidRDefault="00623514" w:rsidP="002C4F55">
            <w:pPr>
              <w:jc w:val="center"/>
              <w:rPr>
                <w:b/>
                <w:bCs/>
                <w:color w:val="000000"/>
              </w:rPr>
            </w:pPr>
            <w:r w:rsidRPr="000664D0">
              <w:rPr>
                <w:b/>
                <w:bCs/>
                <w:color w:val="000000"/>
              </w:rPr>
              <w:t>Assets/(Assets-Liabilities)</w:t>
            </w:r>
          </w:p>
        </w:tc>
        <w:tc>
          <w:tcPr>
            <w:tcW w:w="2040" w:type="dxa"/>
            <w:tcBorders>
              <w:top w:val="nil"/>
              <w:left w:val="nil"/>
              <w:bottom w:val="nil"/>
              <w:right w:val="nil"/>
            </w:tcBorders>
            <w:shd w:val="clear" w:color="auto" w:fill="auto"/>
            <w:vAlign w:val="bottom"/>
          </w:tcPr>
          <w:p w:rsidR="002C4F55" w:rsidRPr="000664D0" w:rsidRDefault="002C4F55" w:rsidP="002C4F55">
            <w:pPr>
              <w:jc w:val="center"/>
              <w:rPr>
                <w:b/>
                <w:bCs/>
                <w:color w:val="000000"/>
              </w:rPr>
            </w:pPr>
            <w:r w:rsidRPr="000664D0">
              <w:rPr>
                <w:b/>
                <w:bCs/>
                <w:color w:val="000000"/>
              </w:rPr>
              <w:t>Variable Name</w:t>
            </w:r>
          </w:p>
        </w:tc>
        <w:tc>
          <w:tcPr>
            <w:tcW w:w="720" w:type="dxa"/>
            <w:tcBorders>
              <w:top w:val="nil"/>
              <w:left w:val="nil"/>
              <w:bottom w:val="nil"/>
              <w:right w:val="nil"/>
            </w:tcBorders>
            <w:shd w:val="clear" w:color="auto" w:fill="auto"/>
            <w:vAlign w:val="bottom"/>
          </w:tcPr>
          <w:p w:rsidR="002C4F55" w:rsidRPr="000664D0" w:rsidRDefault="002C4F55" w:rsidP="002C4F55">
            <w:pPr>
              <w:jc w:val="center"/>
              <w:rPr>
                <w:color w:val="000000"/>
              </w:rPr>
            </w:pPr>
          </w:p>
        </w:tc>
        <w:tc>
          <w:tcPr>
            <w:tcW w:w="1080" w:type="dxa"/>
            <w:tcBorders>
              <w:top w:val="nil"/>
              <w:left w:val="nil"/>
              <w:bottom w:val="nil"/>
              <w:right w:val="nil"/>
            </w:tcBorders>
            <w:shd w:val="clear" w:color="auto" w:fill="auto"/>
            <w:vAlign w:val="bottom"/>
          </w:tcPr>
          <w:p w:rsidR="002C4F55" w:rsidRPr="000664D0" w:rsidRDefault="002C4F55" w:rsidP="002C4F55">
            <w:pPr>
              <w:jc w:val="center"/>
              <w:rPr>
                <w:color w:val="000000"/>
              </w:rPr>
            </w:pPr>
          </w:p>
        </w:tc>
        <w:tc>
          <w:tcPr>
            <w:tcW w:w="1080" w:type="dxa"/>
            <w:tcBorders>
              <w:top w:val="nil"/>
              <w:left w:val="nil"/>
              <w:bottom w:val="nil"/>
              <w:right w:val="nil"/>
            </w:tcBorders>
            <w:shd w:val="clear" w:color="auto" w:fill="auto"/>
            <w:vAlign w:val="bottom"/>
          </w:tcPr>
          <w:p w:rsidR="002C4F55" w:rsidRPr="000664D0" w:rsidRDefault="002C4F55" w:rsidP="002C4F55">
            <w:pPr>
              <w:jc w:val="center"/>
              <w:rPr>
                <w:color w:val="000000"/>
              </w:rPr>
            </w:pPr>
          </w:p>
        </w:tc>
        <w:tc>
          <w:tcPr>
            <w:tcW w:w="960" w:type="dxa"/>
            <w:tcBorders>
              <w:top w:val="nil"/>
              <w:left w:val="nil"/>
              <w:bottom w:val="nil"/>
              <w:right w:val="nil"/>
            </w:tcBorders>
            <w:shd w:val="clear" w:color="auto" w:fill="auto"/>
            <w:vAlign w:val="bottom"/>
          </w:tcPr>
          <w:p w:rsidR="002C4F55" w:rsidRPr="000664D0" w:rsidRDefault="002C4F55" w:rsidP="002C4F55">
            <w:pPr>
              <w:jc w:val="center"/>
              <w:rPr>
                <w:color w:val="000000"/>
              </w:rPr>
            </w:pPr>
          </w:p>
        </w:tc>
        <w:tc>
          <w:tcPr>
            <w:tcW w:w="1080" w:type="dxa"/>
            <w:tcBorders>
              <w:top w:val="nil"/>
              <w:left w:val="nil"/>
              <w:bottom w:val="nil"/>
              <w:right w:val="nil"/>
            </w:tcBorders>
            <w:shd w:val="clear" w:color="auto" w:fill="auto"/>
            <w:vAlign w:val="bottom"/>
          </w:tcPr>
          <w:p w:rsidR="002C4F55" w:rsidRPr="000664D0" w:rsidRDefault="002C4F55" w:rsidP="002C4F55">
            <w:pPr>
              <w:jc w:val="center"/>
              <w:rPr>
                <w:color w:val="000000"/>
              </w:rPr>
            </w:pPr>
          </w:p>
        </w:tc>
        <w:tc>
          <w:tcPr>
            <w:tcW w:w="1320" w:type="dxa"/>
            <w:tcBorders>
              <w:top w:val="nil"/>
              <w:left w:val="nil"/>
              <w:bottom w:val="nil"/>
              <w:right w:val="nil"/>
            </w:tcBorders>
            <w:shd w:val="clear" w:color="auto" w:fill="auto"/>
            <w:vAlign w:val="bottom"/>
          </w:tcPr>
          <w:p w:rsidR="002C4F55" w:rsidRPr="000664D0" w:rsidRDefault="002C4F55" w:rsidP="002C4F55">
            <w:pPr>
              <w:jc w:val="center"/>
              <w:rPr>
                <w:color w:val="000000"/>
              </w:rPr>
            </w:pPr>
          </w:p>
        </w:tc>
      </w:tr>
      <w:tr w:rsidR="00EB7136" w:rsidRPr="000664D0" w:rsidTr="0026660A">
        <w:trPr>
          <w:trHeight w:val="312"/>
        </w:trPr>
        <w:tc>
          <w:tcPr>
            <w:tcW w:w="4680" w:type="dxa"/>
            <w:gridSpan w:val="2"/>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Reported  </w:t>
            </w:r>
          </w:p>
        </w:tc>
        <w:tc>
          <w:tcPr>
            <w:tcW w:w="204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GAAP</w:t>
            </w:r>
            <w:r w:rsidRPr="00567224">
              <w:rPr>
                <w:i/>
                <w:color w:val="000000"/>
              </w:rPr>
              <w:t>LEV</w:t>
            </w: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11.942</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4.196</w:t>
            </w:r>
          </w:p>
        </w:tc>
        <w:tc>
          <w:tcPr>
            <w:tcW w:w="96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9.982</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11.485</w:t>
            </w:r>
          </w:p>
        </w:tc>
        <w:tc>
          <w:tcPr>
            <w:tcW w:w="132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13.335</w:t>
            </w:r>
          </w:p>
        </w:tc>
      </w:tr>
      <w:tr w:rsidR="00EB7136" w:rsidRPr="000664D0" w:rsidTr="0026660A">
        <w:trPr>
          <w:trHeight w:val="300"/>
        </w:trPr>
        <w:tc>
          <w:tcPr>
            <w:tcW w:w="4680" w:type="dxa"/>
            <w:gridSpan w:val="2"/>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Fair Value (FV) </w:t>
            </w:r>
            <w:r>
              <w:rPr>
                <w:color w:val="000000"/>
              </w:rPr>
              <w:t>all financial i</w:t>
            </w:r>
            <w:r w:rsidRPr="000664D0">
              <w:rPr>
                <w:color w:val="000000"/>
              </w:rPr>
              <w:t xml:space="preserve">nstruments </w:t>
            </w:r>
          </w:p>
        </w:tc>
        <w:tc>
          <w:tcPr>
            <w:tcW w:w="204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FV</w:t>
            </w:r>
            <w:r w:rsidRPr="00567224">
              <w:rPr>
                <w:i/>
                <w:color w:val="000000"/>
              </w:rPr>
              <w:t>LEV</w:t>
            </w: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11.597</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24.272</w:t>
            </w:r>
          </w:p>
        </w:tc>
        <w:tc>
          <w:tcPr>
            <w:tcW w:w="96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9.407</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10.973</w:t>
            </w:r>
          </w:p>
        </w:tc>
        <w:tc>
          <w:tcPr>
            <w:tcW w:w="132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13.024</w:t>
            </w:r>
          </w:p>
        </w:tc>
      </w:tr>
      <w:tr w:rsidR="00EB7136" w:rsidRPr="000664D0" w:rsidTr="0026660A">
        <w:trPr>
          <w:trHeight w:val="360"/>
        </w:trPr>
        <w:tc>
          <w:tcPr>
            <w:tcW w:w="4680" w:type="dxa"/>
            <w:gridSpan w:val="2"/>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FV </w:t>
            </w:r>
            <w:r>
              <w:rPr>
                <w:color w:val="000000"/>
              </w:rPr>
              <w:t>financial instrument</w:t>
            </w:r>
            <w:r w:rsidRPr="000664D0">
              <w:rPr>
                <w:color w:val="000000"/>
              </w:rPr>
              <w:t xml:space="preserve"> assets only </w:t>
            </w:r>
          </w:p>
        </w:tc>
        <w:tc>
          <w:tcPr>
            <w:tcW w:w="204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FVASSET</w:t>
            </w:r>
            <w:r w:rsidRPr="00567224">
              <w:rPr>
                <w:i/>
                <w:color w:val="000000"/>
              </w:rPr>
              <w:t>LEV</w:t>
            </w: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11.891</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18.119</w:t>
            </w:r>
          </w:p>
        </w:tc>
        <w:tc>
          <w:tcPr>
            <w:tcW w:w="96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9.600</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11.152</w:t>
            </w:r>
          </w:p>
        </w:tc>
        <w:tc>
          <w:tcPr>
            <w:tcW w:w="132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13.039</w:t>
            </w:r>
          </w:p>
        </w:tc>
      </w:tr>
      <w:tr w:rsidR="00EB7136" w:rsidRPr="000664D0" w:rsidTr="0026660A">
        <w:trPr>
          <w:trHeight w:val="312"/>
        </w:trPr>
        <w:tc>
          <w:tcPr>
            <w:tcW w:w="4680" w:type="dxa"/>
            <w:gridSpan w:val="2"/>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FV </w:t>
            </w:r>
            <w:r>
              <w:rPr>
                <w:color w:val="000000"/>
              </w:rPr>
              <w:t>financial instrument</w:t>
            </w:r>
            <w:r w:rsidRPr="000664D0">
              <w:rPr>
                <w:color w:val="000000"/>
              </w:rPr>
              <w:t xml:space="preserve"> liabilities only </w:t>
            </w:r>
          </w:p>
        </w:tc>
        <w:tc>
          <w:tcPr>
            <w:tcW w:w="204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FVLIAB</w:t>
            </w:r>
            <w:r w:rsidRPr="00567224">
              <w:rPr>
                <w:i/>
                <w:color w:val="000000"/>
              </w:rPr>
              <w:t>LEV</w:t>
            </w: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11.439</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33.971</w:t>
            </w:r>
          </w:p>
        </w:tc>
        <w:tc>
          <w:tcPr>
            <w:tcW w:w="96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9.671</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11.216</w:t>
            </w:r>
          </w:p>
        </w:tc>
        <w:tc>
          <w:tcPr>
            <w:tcW w:w="132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13.241</w:t>
            </w:r>
          </w:p>
        </w:tc>
      </w:tr>
      <w:tr w:rsidR="00EB7136" w:rsidRPr="000664D0" w:rsidTr="0026660A">
        <w:trPr>
          <w:trHeight w:val="312"/>
        </w:trPr>
        <w:tc>
          <w:tcPr>
            <w:tcW w:w="4680" w:type="dxa"/>
            <w:gridSpan w:val="2"/>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Tier 1 </w:t>
            </w:r>
          </w:p>
        </w:tc>
        <w:tc>
          <w:tcPr>
            <w:tcW w:w="204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TIER1</w:t>
            </w:r>
            <w:r w:rsidRPr="00567224">
              <w:rPr>
                <w:i/>
                <w:color w:val="000000"/>
              </w:rPr>
              <w:t>LEV</w:t>
            </w: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8759</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11.842</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3.459</w:t>
            </w:r>
          </w:p>
        </w:tc>
        <w:tc>
          <w:tcPr>
            <w:tcW w:w="96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10.152</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11.521</w:t>
            </w:r>
          </w:p>
        </w:tc>
        <w:tc>
          <w:tcPr>
            <w:tcW w:w="132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13.106</w:t>
            </w:r>
          </w:p>
        </w:tc>
      </w:tr>
      <w:tr w:rsidR="00EB7136" w:rsidRPr="000664D0" w:rsidTr="0026660A">
        <w:trPr>
          <w:trHeight w:val="312"/>
        </w:trPr>
        <w:tc>
          <w:tcPr>
            <w:tcW w:w="4680" w:type="dxa"/>
            <w:gridSpan w:val="2"/>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 xml:space="preserve">Historical Cost </w:t>
            </w:r>
          </w:p>
        </w:tc>
        <w:tc>
          <w:tcPr>
            <w:tcW w:w="2040" w:type="dxa"/>
            <w:tcBorders>
              <w:top w:val="nil"/>
              <w:left w:val="nil"/>
              <w:bottom w:val="nil"/>
              <w:right w:val="nil"/>
            </w:tcBorders>
            <w:shd w:val="clear" w:color="auto" w:fill="auto"/>
            <w:vAlign w:val="bottom"/>
          </w:tcPr>
          <w:p w:rsidR="00EB7136" w:rsidRPr="000664D0" w:rsidRDefault="00EB7136" w:rsidP="002C4F55">
            <w:pPr>
              <w:rPr>
                <w:color w:val="000000"/>
              </w:rPr>
            </w:pPr>
            <w:r w:rsidRPr="000664D0">
              <w:rPr>
                <w:color w:val="000000"/>
              </w:rPr>
              <w:t>HC</w:t>
            </w:r>
            <w:r w:rsidRPr="00567224">
              <w:rPr>
                <w:i/>
                <w:color w:val="000000"/>
              </w:rPr>
              <w:t>LEV</w:t>
            </w:r>
          </w:p>
        </w:tc>
        <w:tc>
          <w:tcPr>
            <w:tcW w:w="720" w:type="dxa"/>
            <w:tcBorders>
              <w:top w:val="nil"/>
              <w:left w:val="nil"/>
              <w:bottom w:val="nil"/>
              <w:right w:val="nil"/>
            </w:tcBorders>
            <w:shd w:val="clear" w:color="auto" w:fill="auto"/>
            <w:noWrap/>
            <w:vAlign w:val="bottom"/>
          </w:tcPr>
          <w:p w:rsidR="00EB7136" w:rsidRPr="00EB7136" w:rsidRDefault="00EB7136">
            <w:pPr>
              <w:jc w:val="center"/>
              <w:rPr>
                <w:color w:val="000000"/>
              </w:rPr>
            </w:pPr>
            <w:r w:rsidRPr="00EB7136">
              <w:rPr>
                <w:color w:val="000000"/>
              </w:rPr>
              <w:t>8131</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11.876</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3.422</w:t>
            </w:r>
          </w:p>
        </w:tc>
        <w:tc>
          <w:tcPr>
            <w:tcW w:w="96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9.972</w:t>
            </w:r>
          </w:p>
        </w:tc>
        <w:tc>
          <w:tcPr>
            <w:tcW w:w="108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11.460</w:t>
            </w:r>
          </w:p>
        </w:tc>
        <w:tc>
          <w:tcPr>
            <w:tcW w:w="1320" w:type="dxa"/>
            <w:tcBorders>
              <w:top w:val="nil"/>
              <w:left w:val="nil"/>
              <w:bottom w:val="nil"/>
              <w:right w:val="nil"/>
            </w:tcBorders>
            <w:shd w:val="clear" w:color="auto" w:fill="auto"/>
            <w:noWrap/>
            <w:vAlign w:val="bottom"/>
          </w:tcPr>
          <w:p w:rsidR="00EB7136" w:rsidRPr="00EB7136" w:rsidRDefault="00EB7136">
            <w:pPr>
              <w:jc w:val="right"/>
              <w:rPr>
                <w:color w:val="000000"/>
              </w:rPr>
            </w:pPr>
            <w:r w:rsidRPr="00EB7136">
              <w:rPr>
                <w:color w:val="000000"/>
              </w:rPr>
              <w:t>13.309</w:t>
            </w:r>
          </w:p>
        </w:tc>
      </w:tr>
    </w:tbl>
    <w:p w:rsidR="008E5F85" w:rsidRPr="000664D0" w:rsidRDefault="008E5F85" w:rsidP="00F8495B"/>
    <w:p w:rsidR="0075734F" w:rsidRDefault="0075734F" w:rsidP="002E238D">
      <w:pPr>
        <w:sectPr w:rsidR="0075734F" w:rsidSect="00A92E0C">
          <w:pgSz w:w="15840" w:h="12240" w:orient="landscape" w:code="1"/>
          <w:pgMar w:top="1800" w:right="1440" w:bottom="1800" w:left="1440" w:header="720" w:footer="720" w:gutter="0"/>
          <w:cols w:space="720"/>
          <w:docGrid w:linePitch="360"/>
        </w:sectPr>
      </w:pPr>
    </w:p>
    <w:p w:rsidR="002E238D" w:rsidRPr="000664D0" w:rsidRDefault="002E238D" w:rsidP="002E238D"/>
    <w:tbl>
      <w:tblPr>
        <w:tblpPr w:leftFromText="180" w:rightFromText="180" w:vertAnchor="page" w:horzAnchor="page" w:tblpX="1921" w:tblpY="2161"/>
        <w:tblW w:w="9228" w:type="dxa"/>
        <w:tblLook w:val="0000"/>
      </w:tblPr>
      <w:tblGrid>
        <w:gridCol w:w="1908"/>
        <w:gridCol w:w="960"/>
        <w:gridCol w:w="1080"/>
        <w:gridCol w:w="1080"/>
        <w:gridCol w:w="1080"/>
        <w:gridCol w:w="1080"/>
        <w:gridCol w:w="1200"/>
        <w:gridCol w:w="1003"/>
      </w:tblGrid>
      <w:tr w:rsidR="0075734F" w:rsidRPr="000664D0" w:rsidTr="0075734F">
        <w:trPr>
          <w:trHeight w:val="1104"/>
        </w:trPr>
        <w:tc>
          <w:tcPr>
            <w:tcW w:w="9228" w:type="dxa"/>
            <w:gridSpan w:val="8"/>
            <w:tcBorders>
              <w:top w:val="nil"/>
              <w:left w:val="nil"/>
              <w:right w:val="nil"/>
            </w:tcBorders>
            <w:shd w:val="clear" w:color="auto" w:fill="auto"/>
            <w:noWrap/>
            <w:vAlign w:val="bottom"/>
          </w:tcPr>
          <w:p w:rsidR="0075734F" w:rsidRPr="000664D0" w:rsidRDefault="0075734F" w:rsidP="0075734F">
            <w:pPr>
              <w:jc w:val="center"/>
              <w:rPr>
                <w:b/>
                <w:color w:val="000000"/>
              </w:rPr>
            </w:pPr>
            <w:r w:rsidRPr="000664D0">
              <w:rPr>
                <w:b/>
                <w:color w:val="000000"/>
              </w:rPr>
              <w:t xml:space="preserve">Table </w:t>
            </w:r>
            <w:r w:rsidR="00351965">
              <w:rPr>
                <w:b/>
                <w:color w:val="000000"/>
              </w:rPr>
              <w:t>2</w:t>
            </w:r>
          </w:p>
          <w:p w:rsidR="0075734F" w:rsidRPr="000664D0" w:rsidRDefault="0075734F" w:rsidP="0075734F">
            <w:pPr>
              <w:jc w:val="center"/>
              <w:rPr>
                <w:b/>
                <w:color w:val="000000"/>
              </w:rPr>
            </w:pPr>
            <w:r w:rsidRPr="000664D0">
              <w:rPr>
                <w:b/>
                <w:color w:val="000000"/>
              </w:rPr>
              <w:t>Panel A</w:t>
            </w:r>
          </w:p>
          <w:p w:rsidR="0075734F" w:rsidRPr="000664D0" w:rsidRDefault="0075734F" w:rsidP="0075734F">
            <w:pPr>
              <w:jc w:val="center"/>
              <w:rPr>
                <w:b/>
                <w:color w:val="000000"/>
              </w:rPr>
            </w:pPr>
            <w:r w:rsidRPr="000664D0">
              <w:rPr>
                <w:b/>
                <w:bCs/>
                <w:color w:val="000000"/>
              </w:rPr>
              <w:t>Distribution of Bank-Specific Pearson Correlations between Various Leverage Measures &amp; TED Spread</w:t>
            </w:r>
          </w:p>
        </w:tc>
      </w:tr>
      <w:tr w:rsidR="002E238D" w:rsidRPr="000664D0" w:rsidTr="0075734F">
        <w:trPr>
          <w:trHeight w:val="276"/>
        </w:trPr>
        <w:tc>
          <w:tcPr>
            <w:tcW w:w="1908" w:type="dxa"/>
            <w:tcBorders>
              <w:top w:val="nil"/>
              <w:left w:val="nil"/>
              <w:bottom w:val="nil"/>
              <w:right w:val="nil"/>
            </w:tcBorders>
            <w:shd w:val="clear" w:color="auto" w:fill="auto"/>
          </w:tcPr>
          <w:p w:rsidR="002E238D" w:rsidRPr="000664D0" w:rsidRDefault="00B13B17" w:rsidP="0075734F">
            <w:pPr>
              <w:jc w:val="center"/>
              <w:rPr>
                <w:b/>
                <w:bCs/>
                <w:color w:val="000000"/>
              </w:rPr>
            </w:pPr>
            <w:r>
              <w:rPr>
                <w:b/>
                <w:bCs/>
                <w:color w:val="000000"/>
              </w:rPr>
              <w:t>Variable</w:t>
            </w:r>
          </w:p>
        </w:tc>
        <w:tc>
          <w:tcPr>
            <w:tcW w:w="960" w:type="dxa"/>
            <w:tcBorders>
              <w:top w:val="nil"/>
              <w:left w:val="nil"/>
              <w:bottom w:val="nil"/>
              <w:right w:val="nil"/>
            </w:tcBorders>
            <w:shd w:val="clear" w:color="auto" w:fill="auto"/>
          </w:tcPr>
          <w:p w:rsidR="002E238D" w:rsidRPr="000664D0" w:rsidRDefault="002E238D" w:rsidP="0075734F">
            <w:pPr>
              <w:jc w:val="center"/>
              <w:rPr>
                <w:b/>
                <w:bCs/>
                <w:color w:val="000000"/>
              </w:rPr>
            </w:pPr>
            <w:r w:rsidRPr="000664D0">
              <w:rPr>
                <w:b/>
                <w:bCs/>
                <w:color w:val="000000"/>
              </w:rPr>
              <w:t>n</w:t>
            </w:r>
          </w:p>
        </w:tc>
        <w:tc>
          <w:tcPr>
            <w:tcW w:w="1080" w:type="dxa"/>
            <w:tcBorders>
              <w:top w:val="nil"/>
              <w:left w:val="nil"/>
              <w:bottom w:val="nil"/>
              <w:right w:val="nil"/>
            </w:tcBorders>
            <w:shd w:val="clear" w:color="auto" w:fill="auto"/>
          </w:tcPr>
          <w:p w:rsidR="002E238D" w:rsidRPr="000664D0" w:rsidRDefault="002E238D" w:rsidP="0075734F">
            <w:pPr>
              <w:jc w:val="center"/>
              <w:rPr>
                <w:b/>
                <w:bCs/>
                <w:color w:val="000000"/>
              </w:rPr>
            </w:pPr>
            <w:r w:rsidRPr="000664D0">
              <w:rPr>
                <w:b/>
                <w:bCs/>
                <w:color w:val="000000"/>
              </w:rPr>
              <w:t>mean</w:t>
            </w:r>
          </w:p>
        </w:tc>
        <w:tc>
          <w:tcPr>
            <w:tcW w:w="1080" w:type="dxa"/>
            <w:tcBorders>
              <w:top w:val="nil"/>
              <w:left w:val="nil"/>
              <w:bottom w:val="nil"/>
              <w:right w:val="nil"/>
            </w:tcBorders>
            <w:shd w:val="clear" w:color="auto" w:fill="auto"/>
          </w:tcPr>
          <w:p w:rsidR="002E238D" w:rsidRPr="000664D0" w:rsidRDefault="002E238D" w:rsidP="0075734F">
            <w:pPr>
              <w:jc w:val="center"/>
              <w:rPr>
                <w:b/>
                <w:bCs/>
                <w:color w:val="000000"/>
              </w:rPr>
            </w:pPr>
            <w:r w:rsidRPr="000664D0">
              <w:rPr>
                <w:b/>
                <w:bCs/>
                <w:color w:val="000000"/>
              </w:rPr>
              <w:t>std</w:t>
            </w:r>
          </w:p>
        </w:tc>
        <w:tc>
          <w:tcPr>
            <w:tcW w:w="1080" w:type="dxa"/>
            <w:tcBorders>
              <w:top w:val="nil"/>
              <w:left w:val="nil"/>
              <w:bottom w:val="nil"/>
              <w:right w:val="nil"/>
            </w:tcBorders>
            <w:shd w:val="clear" w:color="auto" w:fill="auto"/>
          </w:tcPr>
          <w:p w:rsidR="002E238D" w:rsidRPr="000664D0" w:rsidRDefault="002E238D" w:rsidP="0075734F">
            <w:pPr>
              <w:jc w:val="center"/>
              <w:rPr>
                <w:b/>
                <w:bCs/>
                <w:color w:val="000000"/>
              </w:rPr>
            </w:pPr>
            <w:r w:rsidRPr="000664D0">
              <w:rPr>
                <w:b/>
                <w:bCs/>
                <w:color w:val="000000"/>
              </w:rPr>
              <w:t>P25</w:t>
            </w:r>
          </w:p>
        </w:tc>
        <w:tc>
          <w:tcPr>
            <w:tcW w:w="1080" w:type="dxa"/>
            <w:tcBorders>
              <w:top w:val="nil"/>
              <w:left w:val="nil"/>
              <w:bottom w:val="nil"/>
              <w:right w:val="nil"/>
            </w:tcBorders>
            <w:shd w:val="clear" w:color="auto" w:fill="auto"/>
          </w:tcPr>
          <w:p w:rsidR="002E238D" w:rsidRPr="000664D0" w:rsidRDefault="002E238D" w:rsidP="0075734F">
            <w:pPr>
              <w:jc w:val="center"/>
              <w:rPr>
                <w:b/>
                <w:bCs/>
                <w:color w:val="000000"/>
              </w:rPr>
            </w:pPr>
            <w:r w:rsidRPr="000664D0">
              <w:rPr>
                <w:b/>
                <w:bCs/>
                <w:color w:val="000000"/>
              </w:rPr>
              <w:t>median</w:t>
            </w:r>
          </w:p>
        </w:tc>
        <w:tc>
          <w:tcPr>
            <w:tcW w:w="1200" w:type="dxa"/>
            <w:tcBorders>
              <w:top w:val="nil"/>
              <w:left w:val="nil"/>
              <w:bottom w:val="nil"/>
              <w:right w:val="nil"/>
            </w:tcBorders>
            <w:shd w:val="clear" w:color="auto" w:fill="auto"/>
          </w:tcPr>
          <w:p w:rsidR="002E238D" w:rsidRPr="000664D0" w:rsidRDefault="002E238D" w:rsidP="0075734F">
            <w:pPr>
              <w:jc w:val="center"/>
              <w:rPr>
                <w:b/>
                <w:bCs/>
                <w:color w:val="000000"/>
              </w:rPr>
            </w:pPr>
            <w:r w:rsidRPr="000664D0">
              <w:rPr>
                <w:b/>
                <w:bCs/>
                <w:color w:val="000000"/>
              </w:rPr>
              <w:t>P75</w:t>
            </w:r>
          </w:p>
        </w:tc>
        <w:tc>
          <w:tcPr>
            <w:tcW w:w="840" w:type="dxa"/>
            <w:tcBorders>
              <w:top w:val="nil"/>
              <w:left w:val="nil"/>
              <w:bottom w:val="nil"/>
              <w:right w:val="nil"/>
            </w:tcBorders>
            <w:shd w:val="clear" w:color="auto" w:fill="auto"/>
            <w:noWrap/>
            <w:vAlign w:val="bottom"/>
          </w:tcPr>
          <w:p w:rsidR="002E238D" w:rsidRPr="000664D0" w:rsidRDefault="009E41BF" w:rsidP="00597BC5">
            <w:pPr>
              <w:jc w:val="center"/>
              <w:rPr>
                <w:b/>
                <w:bCs/>
                <w:color w:val="000000"/>
              </w:rPr>
            </w:pPr>
            <w:r>
              <w:rPr>
                <w:b/>
                <w:bCs/>
                <w:color w:val="000000"/>
              </w:rPr>
              <w:t>t</w:t>
            </w:r>
            <w:r w:rsidR="002E238D" w:rsidRPr="000664D0">
              <w:rPr>
                <w:b/>
                <w:bCs/>
                <w:color w:val="000000"/>
              </w:rPr>
              <w:t>-stat</w:t>
            </w:r>
            <w:r>
              <w:rPr>
                <w:b/>
                <w:bCs/>
                <w:color w:val="000000"/>
              </w:rPr>
              <w:t>istic</w:t>
            </w:r>
          </w:p>
        </w:tc>
      </w:tr>
      <w:tr w:rsidR="009143A6" w:rsidRPr="000664D0" w:rsidTr="0075734F">
        <w:trPr>
          <w:trHeight w:val="276"/>
        </w:trPr>
        <w:tc>
          <w:tcPr>
            <w:tcW w:w="1908" w:type="dxa"/>
            <w:tcBorders>
              <w:top w:val="nil"/>
              <w:left w:val="nil"/>
              <w:bottom w:val="nil"/>
              <w:right w:val="nil"/>
            </w:tcBorders>
            <w:shd w:val="clear" w:color="auto" w:fill="auto"/>
            <w:noWrap/>
            <w:vAlign w:val="bottom"/>
          </w:tcPr>
          <w:p w:rsidR="009143A6" w:rsidRPr="000664D0" w:rsidRDefault="009143A6" w:rsidP="009143A6">
            <w:pPr>
              <w:rPr>
                <w:color w:val="000000"/>
              </w:rPr>
            </w:pPr>
            <w:r w:rsidRPr="000664D0">
              <w:rPr>
                <w:color w:val="000000"/>
              </w:rPr>
              <w:t>TIER1</w:t>
            </w:r>
            <w:r w:rsidRPr="00567224">
              <w:rPr>
                <w:i/>
                <w:color w:val="000000"/>
              </w:rPr>
              <w:t>LEV</w:t>
            </w:r>
          </w:p>
        </w:tc>
        <w:tc>
          <w:tcPr>
            <w:tcW w:w="960" w:type="dxa"/>
            <w:tcBorders>
              <w:top w:val="nil"/>
              <w:left w:val="nil"/>
              <w:bottom w:val="nil"/>
              <w:right w:val="nil"/>
            </w:tcBorders>
            <w:shd w:val="clear" w:color="auto" w:fill="auto"/>
            <w:noWrap/>
            <w:vAlign w:val="bottom"/>
          </w:tcPr>
          <w:p w:rsidR="009143A6" w:rsidRPr="0019240B" w:rsidRDefault="009143A6" w:rsidP="009143A6">
            <w:pPr>
              <w:jc w:val="right"/>
              <w:rPr>
                <w:color w:val="000000"/>
              </w:rPr>
            </w:pPr>
            <w:r w:rsidRPr="0019240B">
              <w:rPr>
                <w:color w:val="000000"/>
              </w:rPr>
              <w:t>1046</w:t>
            </w:r>
          </w:p>
        </w:tc>
        <w:tc>
          <w:tcPr>
            <w:tcW w:w="1080" w:type="dxa"/>
            <w:tcBorders>
              <w:top w:val="nil"/>
              <w:left w:val="nil"/>
              <w:bottom w:val="nil"/>
              <w:right w:val="nil"/>
            </w:tcBorders>
            <w:shd w:val="clear" w:color="auto" w:fill="auto"/>
            <w:noWrap/>
            <w:vAlign w:val="bottom"/>
          </w:tcPr>
          <w:p w:rsidR="009143A6" w:rsidRPr="0019240B" w:rsidRDefault="009143A6" w:rsidP="009143A6">
            <w:pPr>
              <w:jc w:val="right"/>
              <w:rPr>
                <w:b/>
                <w:bCs/>
                <w:color w:val="000000"/>
              </w:rPr>
            </w:pPr>
            <w:r w:rsidRPr="0019240B">
              <w:rPr>
                <w:b/>
                <w:bCs/>
                <w:color w:val="000000"/>
              </w:rPr>
              <w:t>-0.0435</w:t>
            </w:r>
          </w:p>
        </w:tc>
        <w:tc>
          <w:tcPr>
            <w:tcW w:w="1080" w:type="dxa"/>
            <w:tcBorders>
              <w:top w:val="nil"/>
              <w:left w:val="nil"/>
              <w:bottom w:val="nil"/>
              <w:right w:val="nil"/>
            </w:tcBorders>
            <w:shd w:val="clear" w:color="auto" w:fill="auto"/>
            <w:noWrap/>
            <w:vAlign w:val="bottom"/>
          </w:tcPr>
          <w:p w:rsidR="009143A6" w:rsidRPr="0019240B" w:rsidRDefault="009143A6" w:rsidP="009143A6">
            <w:pPr>
              <w:jc w:val="right"/>
              <w:rPr>
                <w:color w:val="000000"/>
              </w:rPr>
            </w:pPr>
            <w:r w:rsidRPr="0019240B">
              <w:rPr>
                <w:color w:val="000000"/>
              </w:rPr>
              <w:t>0.51036</w:t>
            </w:r>
          </w:p>
        </w:tc>
        <w:tc>
          <w:tcPr>
            <w:tcW w:w="1080" w:type="dxa"/>
            <w:tcBorders>
              <w:top w:val="nil"/>
              <w:left w:val="nil"/>
              <w:bottom w:val="nil"/>
              <w:right w:val="nil"/>
            </w:tcBorders>
            <w:shd w:val="clear" w:color="auto" w:fill="auto"/>
            <w:noWrap/>
            <w:vAlign w:val="bottom"/>
          </w:tcPr>
          <w:p w:rsidR="009143A6" w:rsidRPr="0019240B" w:rsidRDefault="009143A6" w:rsidP="009143A6">
            <w:pPr>
              <w:jc w:val="right"/>
              <w:rPr>
                <w:color w:val="000000"/>
              </w:rPr>
            </w:pPr>
            <w:r w:rsidRPr="0019240B">
              <w:rPr>
                <w:color w:val="000000"/>
              </w:rPr>
              <w:t>-0.43813</w:t>
            </w:r>
          </w:p>
        </w:tc>
        <w:tc>
          <w:tcPr>
            <w:tcW w:w="1080" w:type="dxa"/>
            <w:tcBorders>
              <w:top w:val="nil"/>
              <w:left w:val="nil"/>
              <w:bottom w:val="nil"/>
              <w:right w:val="nil"/>
            </w:tcBorders>
            <w:shd w:val="clear" w:color="auto" w:fill="auto"/>
            <w:noWrap/>
            <w:vAlign w:val="bottom"/>
          </w:tcPr>
          <w:p w:rsidR="009143A6" w:rsidRPr="0019240B" w:rsidRDefault="009143A6" w:rsidP="009143A6">
            <w:pPr>
              <w:jc w:val="right"/>
              <w:rPr>
                <w:color w:val="000000"/>
              </w:rPr>
            </w:pPr>
            <w:r w:rsidRPr="0019240B">
              <w:rPr>
                <w:color w:val="000000"/>
              </w:rPr>
              <w:t>-0.08594</w:t>
            </w:r>
          </w:p>
        </w:tc>
        <w:tc>
          <w:tcPr>
            <w:tcW w:w="1200" w:type="dxa"/>
            <w:tcBorders>
              <w:top w:val="nil"/>
              <w:left w:val="nil"/>
              <w:bottom w:val="nil"/>
              <w:right w:val="nil"/>
            </w:tcBorders>
            <w:shd w:val="clear" w:color="auto" w:fill="auto"/>
            <w:noWrap/>
            <w:vAlign w:val="bottom"/>
          </w:tcPr>
          <w:p w:rsidR="009143A6" w:rsidRPr="0019240B" w:rsidRDefault="009143A6" w:rsidP="009143A6">
            <w:pPr>
              <w:jc w:val="right"/>
              <w:rPr>
                <w:color w:val="000000"/>
              </w:rPr>
            </w:pPr>
            <w:r w:rsidRPr="0019240B">
              <w:rPr>
                <w:color w:val="000000"/>
              </w:rPr>
              <w:t>0.3344</w:t>
            </w:r>
          </w:p>
        </w:tc>
        <w:tc>
          <w:tcPr>
            <w:tcW w:w="840" w:type="dxa"/>
            <w:tcBorders>
              <w:top w:val="nil"/>
              <w:left w:val="nil"/>
              <w:bottom w:val="nil"/>
              <w:right w:val="nil"/>
            </w:tcBorders>
            <w:shd w:val="clear" w:color="auto" w:fill="auto"/>
            <w:noWrap/>
            <w:vAlign w:val="bottom"/>
          </w:tcPr>
          <w:p w:rsidR="009143A6" w:rsidRPr="0019240B" w:rsidRDefault="009143A6" w:rsidP="009143A6">
            <w:pPr>
              <w:jc w:val="right"/>
              <w:rPr>
                <w:color w:val="000000"/>
              </w:rPr>
            </w:pPr>
            <w:r w:rsidRPr="0019240B">
              <w:rPr>
                <w:color w:val="000000"/>
              </w:rPr>
              <w:t>-2.76</w:t>
            </w:r>
          </w:p>
        </w:tc>
      </w:tr>
      <w:tr w:rsidR="00E4666F" w:rsidRPr="000664D0" w:rsidTr="0075734F">
        <w:trPr>
          <w:trHeight w:val="276"/>
        </w:trPr>
        <w:tc>
          <w:tcPr>
            <w:tcW w:w="1908" w:type="dxa"/>
            <w:tcBorders>
              <w:top w:val="nil"/>
              <w:left w:val="nil"/>
              <w:bottom w:val="nil"/>
              <w:right w:val="nil"/>
            </w:tcBorders>
            <w:shd w:val="clear" w:color="auto" w:fill="auto"/>
            <w:noWrap/>
            <w:vAlign w:val="bottom"/>
          </w:tcPr>
          <w:p w:rsidR="00E4666F" w:rsidRPr="000664D0" w:rsidRDefault="00E4666F" w:rsidP="0075734F">
            <w:pPr>
              <w:rPr>
                <w:color w:val="000000"/>
              </w:rPr>
            </w:pPr>
            <w:r w:rsidRPr="000664D0">
              <w:rPr>
                <w:color w:val="000000"/>
              </w:rPr>
              <w:t>GAAP</w:t>
            </w:r>
            <w:r w:rsidRPr="00567224">
              <w:rPr>
                <w:i/>
                <w:color w:val="000000"/>
              </w:rPr>
              <w:t>LEV</w:t>
            </w:r>
          </w:p>
        </w:tc>
        <w:tc>
          <w:tcPr>
            <w:tcW w:w="960" w:type="dxa"/>
            <w:tcBorders>
              <w:top w:val="nil"/>
              <w:left w:val="nil"/>
              <w:bottom w:val="nil"/>
              <w:right w:val="nil"/>
            </w:tcBorders>
            <w:shd w:val="clear" w:color="auto" w:fill="auto"/>
            <w:noWrap/>
            <w:vAlign w:val="bottom"/>
          </w:tcPr>
          <w:p w:rsidR="00E4666F" w:rsidRPr="0019240B" w:rsidRDefault="00E4666F" w:rsidP="0075734F">
            <w:pPr>
              <w:jc w:val="right"/>
              <w:rPr>
                <w:color w:val="000000"/>
              </w:rPr>
            </w:pPr>
            <w:r w:rsidRPr="0019240B">
              <w:rPr>
                <w:color w:val="000000"/>
              </w:rPr>
              <w:t>1046</w:t>
            </w:r>
          </w:p>
        </w:tc>
        <w:tc>
          <w:tcPr>
            <w:tcW w:w="1080" w:type="dxa"/>
            <w:tcBorders>
              <w:top w:val="nil"/>
              <w:left w:val="nil"/>
              <w:bottom w:val="nil"/>
              <w:right w:val="nil"/>
            </w:tcBorders>
            <w:shd w:val="clear" w:color="auto" w:fill="auto"/>
            <w:noWrap/>
            <w:vAlign w:val="bottom"/>
          </w:tcPr>
          <w:p w:rsidR="00E4666F" w:rsidRPr="0019240B" w:rsidRDefault="00E4666F" w:rsidP="0075734F">
            <w:pPr>
              <w:jc w:val="right"/>
              <w:rPr>
                <w:b/>
                <w:bCs/>
                <w:color w:val="000000"/>
              </w:rPr>
            </w:pPr>
            <w:r w:rsidRPr="0019240B">
              <w:rPr>
                <w:b/>
                <w:bCs/>
                <w:color w:val="000000"/>
              </w:rPr>
              <w:t>0.0355</w:t>
            </w:r>
          </w:p>
        </w:tc>
        <w:tc>
          <w:tcPr>
            <w:tcW w:w="1080" w:type="dxa"/>
            <w:tcBorders>
              <w:top w:val="nil"/>
              <w:left w:val="nil"/>
              <w:bottom w:val="nil"/>
              <w:right w:val="nil"/>
            </w:tcBorders>
            <w:shd w:val="clear" w:color="auto" w:fill="auto"/>
            <w:noWrap/>
            <w:vAlign w:val="bottom"/>
          </w:tcPr>
          <w:p w:rsidR="00E4666F" w:rsidRPr="0019240B" w:rsidRDefault="00E4666F" w:rsidP="0075734F">
            <w:pPr>
              <w:jc w:val="right"/>
              <w:rPr>
                <w:color w:val="000000"/>
              </w:rPr>
            </w:pPr>
            <w:r w:rsidRPr="0019240B">
              <w:rPr>
                <w:color w:val="000000"/>
              </w:rPr>
              <w:t>0.52608</w:t>
            </w:r>
          </w:p>
        </w:tc>
        <w:tc>
          <w:tcPr>
            <w:tcW w:w="1080" w:type="dxa"/>
            <w:tcBorders>
              <w:top w:val="nil"/>
              <w:left w:val="nil"/>
              <w:bottom w:val="nil"/>
              <w:right w:val="nil"/>
            </w:tcBorders>
            <w:shd w:val="clear" w:color="auto" w:fill="auto"/>
            <w:noWrap/>
            <w:vAlign w:val="bottom"/>
          </w:tcPr>
          <w:p w:rsidR="00E4666F" w:rsidRPr="0019240B" w:rsidRDefault="00E4666F" w:rsidP="0075734F">
            <w:pPr>
              <w:jc w:val="right"/>
              <w:rPr>
                <w:color w:val="000000"/>
              </w:rPr>
            </w:pPr>
            <w:r w:rsidRPr="0019240B">
              <w:rPr>
                <w:color w:val="000000"/>
              </w:rPr>
              <w:t>-0.39388</w:t>
            </w:r>
          </w:p>
        </w:tc>
        <w:tc>
          <w:tcPr>
            <w:tcW w:w="1080" w:type="dxa"/>
            <w:tcBorders>
              <w:top w:val="nil"/>
              <w:left w:val="nil"/>
              <w:bottom w:val="nil"/>
              <w:right w:val="nil"/>
            </w:tcBorders>
            <w:shd w:val="clear" w:color="auto" w:fill="auto"/>
            <w:noWrap/>
            <w:vAlign w:val="bottom"/>
          </w:tcPr>
          <w:p w:rsidR="00E4666F" w:rsidRPr="0019240B" w:rsidRDefault="00E4666F" w:rsidP="0075734F">
            <w:pPr>
              <w:jc w:val="right"/>
              <w:rPr>
                <w:color w:val="000000"/>
              </w:rPr>
            </w:pPr>
            <w:r w:rsidRPr="0019240B">
              <w:rPr>
                <w:color w:val="000000"/>
              </w:rPr>
              <w:t>0.00649</w:t>
            </w:r>
          </w:p>
        </w:tc>
        <w:tc>
          <w:tcPr>
            <w:tcW w:w="1200" w:type="dxa"/>
            <w:tcBorders>
              <w:top w:val="nil"/>
              <w:left w:val="nil"/>
              <w:bottom w:val="nil"/>
              <w:right w:val="nil"/>
            </w:tcBorders>
            <w:shd w:val="clear" w:color="auto" w:fill="auto"/>
            <w:noWrap/>
            <w:vAlign w:val="bottom"/>
          </w:tcPr>
          <w:p w:rsidR="00E4666F" w:rsidRPr="0019240B" w:rsidRDefault="00E4666F" w:rsidP="0075734F">
            <w:pPr>
              <w:jc w:val="right"/>
              <w:rPr>
                <w:color w:val="000000"/>
              </w:rPr>
            </w:pPr>
            <w:r w:rsidRPr="0019240B">
              <w:rPr>
                <w:color w:val="000000"/>
              </w:rPr>
              <w:t>0.46052</w:t>
            </w:r>
          </w:p>
        </w:tc>
        <w:tc>
          <w:tcPr>
            <w:tcW w:w="840" w:type="dxa"/>
            <w:tcBorders>
              <w:top w:val="nil"/>
              <w:left w:val="nil"/>
              <w:bottom w:val="nil"/>
              <w:right w:val="nil"/>
            </w:tcBorders>
            <w:shd w:val="clear" w:color="auto" w:fill="auto"/>
            <w:noWrap/>
            <w:vAlign w:val="bottom"/>
          </w:tcPr>
          <w:p w:rsidR="00E4666F" w:rsidRPr="0019240B" w:rsidRDefault="00E4666F" w:rsidP="0075734F">
            <w:pPr>
              <w:jc w:val="right"/>
              <w:rPr>
                <w:color w:val="000000"/>
              </w:rPr>
            </w:pPr>
            <w:r w:rsidRPr="0019240B">
              <w:rPr>
                <w:color w:val="000000"/>
              </w:rPr>
              <w:t>2.18</w:t>
            </w:r>
          </w:p>
        </w:tc>
      </w:tr>
      <w:tr w:rsidR="00442AB2" w:rsidRPr="000664D0" w:rsidTr="0075734F">
        <w:trPr>
          <w:trHeight w:val="276"/>
        </w:trPr>
        <w:tc>
          <w:tcPr>
            <w:tcW w:w="1908" w:type="dxa"/>
            <w:tcBorders>
              <w:top w:val="nil"/>
              <w:left w:val="nil"/>
              <w:bottom w:val="nil"/>
              <w:right w:val="nil"/>
            </w:tcBorders>
            <w:shd w:val="clear" w:color="auto" w:fill="auto"/>
            <w:noWrap/>
            <w:vAlign w:val="bottom"/>
          </w:tcPr>
          <w:p w:rsidR="00442AB2" w:rsidRPr="000664D0" w:rsidRDefault="00442AB2" w:rsidP="00442AB2">
            <w:pPr>
              <w:rPr>
                <w:color w:val="000000"/>
              </w:rPr>
            </w:pPr>
            <w:r w:rsidRPr="000664D0">
              <w:rPr>
                <w:color w:val="000000"/>
              </w:rPr>
              <w:t>FV</w:t>
            </w:r>
            <w:r w:rsidRPr="00567224">
              <w:rPr>
                <w:i/>
                <w:color w:val="000000"/>
              </w:rPr>
              <w:t>LEV</w:t>
            </w:r>
          </w:p>
        </w:tc>
        <w:tc>
          <w:tcPr>
            <w:tcW w:w="96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1046</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b/>
                <w:bCs/>
                <w:color w:val="000000"/>
              </w:rPr>
            </w:pPr>
            <w:r w:rsidRPr="0019240B">
              <w:rPr>
                <w:b/>
                <w:bCs/>
                <w:color w:val="000000"/>
              </w:rPr>
              <w:t>0.2515</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0.5077</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-0.12644</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0.30772</w:t>
            </w:r>
          </w:p>
        </w:tc>
        <w:tc>
          <w:tcPr>
            <w:tcW w:w="120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0.672</w:t>
            </w:r>
          </w:p>
        </w:tc>
        <w:tc>
          <w:tcPr>
            <w:tcW w:w="84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16.02</w:t>
            </w:r>
          </w:p>
        </w:tc>
      </w:tr>
      <w:tr w:rsidR="00442AB2" w:rsidRPr="000664D0" w:rsidTr="0075734F">
        <w:trPr>
          <w:trHeight w:val="276"/>
        </w:trPr>
        <w:tc>
          <w:tcPr>
            <w:tcW w:w="1908" w:type="dxa"/>
            <w:tcBorders>
              <w:top w:val="nil"/>
              <w:left w:val="nil"/>
              <w:bottom w:val="nil"/>
              <w:right w:val="nil"/>
            </w:tcBorders>
            <w:shd w:val="clear" w:color="auto" w:fill="auto"/>
            <w:noWrap/>
            <w:vAlign w:val="bottom"/>
          </w:tcPr>
          <w:p w:rsidR="00442AB2" w:rsidRPr="000664D0" w:rsidRDefault="00442AB2" w:rsidP="00442AB2">
            <w:pPr>
              <w:rPr>
                <w:color w:val="000000"/>
              </w:rPr>
            </w:pPr>
            <w:r w:rsidRPr="000664D0">
              <w:rPr>
                <w:color w:val="000000"/>
              </w:rPr>
              <w:t>FVASSET</w:t>
            </w:r>
            <w:r w:rsidRPr="00567224">
              <w:rPr>
                <w:i/>
                <w:color w:val="000000"/>
              </w:rPr>
              <w:t>LEV</w:t>
            </w:r>
          </w:p>
        </w:tc>
        <w:tc>
          <w:tcPr>
            <w:tcW w:w="96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1046</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b/>
                <w:bCs/>
                <w:color w:val="000000"/>
              </w:rPr>
            </w:pPr>
            <w:r w:rsidRPr="0019240B">
              <w:rPr>
                <w:b/>
                <w:bCs/>
                <w:color w:val="000000"/>
              </w:rPr>
              <w:t>0.2165</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0.51782</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-0.17838</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0.27749</w:t>
            </w:r>
          </w:p>
        </w:tc>
        <w:tc>
          <w:tcPr>
            <w:tcW w:w="120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0.64414</w:t>
            </w:r>
          </w:p>
        </w:tc>
        <w:tc>
          <w:tcPr>
            <w:tcW w:w="84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13.52</w:t>
            </w:r>
          </w:p>
        </w:tc>
      </w:tr>
      <w:tr w:rsidR="00442AB2" w:rsidRPr="000664D0" w:rsidTr="0075734F">
        <w:trPr>
          <w:trHeight w:val="276"/>
        </w:trPr>
        <w:tc>
          <w:tcPr>
            <w:tcW w:w="1908" w:type="dxa"/>
            <w:tcBorders>
              <w:top w:val="nil"/>
              <w:left w:val="nil"/>
              <w:bottom w:val="nil"/>
              <w:right w:val="nil"/>
            </w:tcBorders>
            <w:shd w:val="clear" w:color="auto" w:fill="auto"/>
            <w:noWrap/>
            <w:vAlign w:val="bottom"/>
          </w:tcPr>
          <w:p w:rsidR="00442AB2" w:rsidRPr="000664D0" w:rsidRDefault="00442AB2" w:rsidP="00442AB2">
            <w:pPr>
              <w:rPr>
                <w:color w:val="000000"/>
              </w:rPr>
            </w:pPr>
            <w:r w:rsidRPr="000664D0">
              <w:rPr>
                <w:color w:val="000000"/>
              </w:rPr>
              <w:t>FVLIAB</w:t>
            </w:r>
            <w:r w:rsidRPr="00567224">
              <w:rPr>
                <w:i/>
                <w:color w:val="000000"/>
              </w:rPr>
              <w:t>LEV</w:t>
            </w:r>
          </w:p>
        </w:tc>
        <w:tc>
          <w:tcPr>
            <w:tcW w:w="96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1046</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b/>
                <w:bCs/>
                <w:color w:val="000000"/>
              </w:rPr>
            </w:pPr>
            <w:r w:rsidRPr="0019240B">
              <w:rPr>
                <w:b/>
                <w:bCs/>
                <w:color w:val="000000"/>
              </w:rPr>
              <w:t>0.1538</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0.51398</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-0.24584</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0.16053</w:t>
            </w:r>
          </w:p>
        </w:tc>
        <w:tc>
          <w:tcPr>
            <w:tcW w:w="120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0.56707</w:t>
            </w:r>
          </w:p>
        </w:tc>
        <w:tc>
          <w:tcPr>
            <w:tcW w:w="84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9.68</w:t>
            </w:r>
          </w:p>
        </w:tc>
      </w:tr>
      <w:tr w:rsidR="00442AB2" w:rsidRPr="000664D0" w:rsidTr="0075734F">
        <w:trPr>
          <w:trHeight w:val="276"/>
        </w:trPr>
        <w:tc>
          <w:tcPr>
            <w:tcW w:w="1908" w:type="dxa"/>
            <w:tcBorders>
              <w:top w:val="nil"/>
              <w:left w:val="nil"/>
              <w:bottom w:val="nil"/>
              <w:right w:val="nil"/>
            </w:tcBorders>
            <w:shd w:val="clear" w:color="auto" w:fill="auto"/>
            <w:noWrap/>
            <w:vAlign w:val="bottom"/>
          </w:tcPr>
          <w:p w:rsidR="00442AB2" w:rsidRPr="000664D0" w:rsidRDefault="00442AB2" w:rsidP="00442AB2">
            <w:pPr>
              <w:rPr>
                <w:color w:val="000000"/>
              </w:rPr>
            </w:pPr>
            <w:r w:rsidRPr="000664D0">
              <w:rPr>
                <w:color w:val="000000"/>
              </w:rPr>
              <w:t>HC</w:t>
            </w:r>
            <w:r w:rsidRPr="00567224">
              <w:rPr>
                <w:i/>
                <w:color w:val="000000"/>
              </w:rPr>
              <w:t>LEV</w:t>
            </w:r>
          </w:p>
        </w:tc>
        <w:tc>
          <w:tcPr>
            <w:tcW w:w="96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1027</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0.0053</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0.58205</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-0.48832</w:t>
            </w:r>
          </w:p>
        </w:tc>
        <w:tc>
          <w:tcPr>
            <w:tcW w:w="108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-0.04969</w:t>
            </w:r>
          </w:p>
        </w:tc>
        <w:tc>
          <w:tcPr>
            <w:tcW w:w="120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0.50062</w:t>
            </w:r>
          </w:p>
        </w:tc>
        <w:tc>
          <w:tcPr>
            <w:tcW w:w="840" w:type="dxa"/>
            <w:tcBorders>
              <w:top w:val="nil"/>
              <w:left w:val="nil"/>
              <w:bottom w:val="nil"/>
              <w:right w:val="nil"/>
            </w:tcBorders>
            <w:shd w:val="clear" w:color="auto" w:fill="auto"/>
            <w:noWrap/>
            <w:vAlign w:val="bottom"/>
          </w:tcPr>
          <w:p w:rsidR="00442AB2" w:rsidRPr="0019240B" w:rsidRDefault="00442AB2" w:rsidP="00442AB2">
            <w:pPr>
              <w:jc w:val="right"/>
              <w:rPr>
                <w:color w:val="000000"/>
              </w:rPr>
            </w:pPr>
            <w:r w:rsidRPr="0019240B">
              <w:rPr>
                <w:color w:val="000000"/>
              </w:rPr>
              <w:t>0.29</w:t>
            </w:r>
          </w:p>
        </w:tc>
      </w:tr>
    </w:tbl>
    <w:p w:rsidR="002E238D" w:rsidRPr="000664D0" w:rsidRDefault="002E238D" w:rsidP="002E238D"/>
    <w:p w:rsidR="002E238D" w:rsidRPr="000664D0" w:rsidRDefault="002E238D" w:rsidP="002E238D"/>
    <w:p w:rsidR="002E238D" w:rsidRDefault="002E238D" w:rsidP="002E238D"/>
    <w:p w:rsidR="00E4666F" w:rsidRDefault="00E4666F" w:rsidP="002E238D"/>
    <w:p w:rsidR="00E4666F" w:rsidRDefault="00E4666F" w:rsidP="002E238D"/>
    <w:p w:rsidR="00CD1C8D" w:rsidRDefault="00CD1C8D" w:rsidP="002E238D"/>
    <w:tbl>
      <w:tblPr>
        <w:tblW w:w="9360" w:type="dxa"/>
        <w:tblInd w:w="-12" w:type="dxa"/>
        <w:tblLook w:val="0000"/>
      </w:tblPr>
      <w:tblGrid>
        <w:gridCol w:w="1920"/>
        <w:gridCol w:w="1440"/>
        <w:gridCol w:w="1560"/>
        <w:gridCol w:w="1683"/>
        <w:gridCol w:w="1510"/>
        <w:gridCol w:w="1296"/>
      </w:tblGrid>
      <w:tr w:rsidR="00E4666F" w:rsidRPr="00E4666F" w:rsidTr="0075734F">
        <w:trPr>
          <w:trHeight w:val="288"/>
        </w:trPr>
        <w:tc>
          <w:tcPr>
            <w:tcW w:w="9360" w:type="dxa"/>
            <w:gridSpan w:val="6"/>
            <w:tcBorders>
              <w:top w:val="nil"/>
              <w:left w:val="nil"/>
              <w:bottom w:val="nil"/>
              <w:right w:val="nil"/>
            </w:tcBorders>
            <w:shd w:val="clear" w:color="auto" w:fill="auto"/>
            <w:noWrap/>
            <w:vAlign w:val="bottom"/>
          </w:tcPr>
          <w:p w:rsidR="0075734F" w:rsidRPr="0075734F" w:rsidRDefault="0075734F" w:rsidP="00E4666F">
            <w:pPr>
              <w:jc w:val="center"/>
              <w:rPr>
                <w:b/>
                <w:color w:val="000000"/>
              </w:rPr>
            </w:pPr>
            <w:r w:rsidRPr="0075734F">
              <w:rPr>
                <w:b/>
                <w:color w:val="000000"/>
              </w:rPr>
              <w:t xml:space="preserve">Table </w:t>
            </w:r>
            <w:r w:rsidR="00351965">
              <w:rPr>
                <w:b/>
                <w:color w:val="000000"/>
              </w:rPr>
              <w:t>2</w:t>
            </w:r>
          </w:p>
          <w:p w:rsidR="00E4666F" w:rsidRPr="0075734F" w:rsidRDefault="00E4666F" w:rsidP="00E4666F">
            <w:pPr>
              <w:jc w:val="center"/>
              <w:rPr>
                <w:b/>
                <w:color w:val="000000"/>
              </w:rPr>
            </w:pPr>
            <w:r w:rsidRPr="0075734F">
              <w:rPr>
                <w:b/>
                <w:color w:val="000000"/>
              </w:rPr>
              <w:t>Panel B</w:t>
            </w:r>
          </w:p>
          <w:p w:rsidR="00E4666F" w:rsidRPr="0075734F" w:rsidRDefault="00E4666F" w:rsidP="00E4666F">
            <w:pPr>
              <w:jc w:val="center"/>
              <w:rPr>
                <w:b/>
                <w:color w:val="000000"/>
              </w:rPr>
            </w:pPr>
            <w:r w:rsidRPr="0075734F">
              <w:rPr>
                <w:b/>
                <w:color w:val="000000"/>
              </w:rPr>
              <w:t xml:space="preserve">Paired Sample </w:t>
            </w:r>
            <w:r w:rsidR="009E41BF">
              <w:rPr>
                <w:b/>
                <w:color w:val="000000"/>
              </w:rPr>
              <w:t>t</w:t>
            </w:r>
            <w:r w:rsidRPr="0075734F">
              <w:rPr>
                <w:b/>
                <w:color w:val="000000"/>
              </w:rPr>
              <w:t>-</w:t>
            </w:r>
            <w:r w:rsidR="00E40579">
              <w:rPr>
                <w:b/>
                <w:color w:val="000000"/>
              </w:rPr>
              <w:t>t</w:t>
            </w:r>
            <w:r w:rsidRPr="0075734F">
              <w:rPr>
                <w:b/>
                <w:color w:val="000000"/>
              </w:rPr>
              <w:t>est of Difference in Mean Correlations</w:t>
            </w:r>
          </w:p>
          <w:p w:rsidR="00E4666F" w:rsidRPr="0075734F" w:rsidRDefault="009E41BF" w:rsidP="00E4666F">
            <w:pPr>
              <w:jc w:val="center"/>
              <w:rPr>
                <w:b/>
                <w:color w:val="000000"/>
              </w:rPr>
            </w:pPr>
            <w:r>
              <w:rPr>
                <w:b/>
                <w:color w:val="000000"/>
              </w:rPr>
              <w:t>t</w:t>
            </w:r>
            <w:r w:rsidR="00E4666F" w:rsidRPr="0075734F">
              <w:rPr>
                <w:b/>
                <w:color w:val="000000"/>
              </w:rPr>
              <w:t>-stat</w:t>
            </w:r>
            <w:r>
              <w:rPr>
                <w:b/>
                <w:color w:val="000000"/>
              </w:rPr>
              <w:t>istic</w:t>
            </w:r>
          </w:p>
          <w:p w:rsidR="00E4666F" w:rsidRDefault="00E4666F" w:rsidP="00E4666F">
            <w:pPr>
              <w:jc w:val="center"/>
              <w:rPr>
                <w:b/>
                <w:color w:val="000000"/>
              </w:rPr>
            </w:pPr>
            <w:r w:rsidRPr="0075734F">
              <w:rPr>
                <w:b/>
                <w:color w:val="000000"/>
              </w:rPr>
              <w:t>p-value</w:t>
            </w:r>
          </w:p>
          <w:p w:rsidR="0075734F" w:rsidRPr="00E4666F" w:rsidRDefault="0075734F" w:rsidP="00E4666F">
            <w:pPr>
              <w:jc w:val="center"/>
              <w:rPr>
                <w:color w:val="000000"/>
              </w:rPr>
            </w:pPr>
          </w:p>
        </w:tc>
      </w:tr>
      <w:tr w:rsidR="0075734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tcPr>
          <w:p w:rsidR="00E4666F" w:rsidRPr="00E4666F" w:rsidRDefault="00E4666F" w:rsidP="00E4666F">
            <w:pPr>
              <w:rPr>
                <w:color w:val="000000"/>
              </w:rPr>
            </w:pPr>
            <w:r w:rsidRPr="00E4666F">
              <w:rPr>
                <w:color w:val="000000"/>
              </w:rPr>
              <w:t>GAAP</w:t>
            </w:r>
            <w:r w:rsidRPr="00E4666F">
              <w:rPr>
                <w:i/>
                <w:color w:val="000000"/>
              </w:rPr>
              <w:t>LEV</w:t>
            </w:r>
          </w:p>
        </w:tc>
        <w:tc>
          <w:tcPr>
            <w:tcW w:w="1560" w:type="dxa"/>
            <w:tcBorders>
              <w:top w:val="nil"/>
              <w:left w:val="nil"/>
              <w:bottom w:val="nil"/>
              <w:right w:val="nil"/>
            </w:tcBorders>
            <w:shd w:val="clear" w:color="auto" w:fill="auto"/>
            <w:noWrap/>
            <w:vAlign w:val="bottom"/>
          </w:tcPr>
          <w:p w:rsidR="00E4666F" w:rsidRPr="00E4666F" w:rsidRDefault="00E4666F" w:rsidP="00E4666F">
            <w:pPr>
              <w:rPr>
                <w:color w:val="000000"/>
              </w:rPr>
            </w:pPr>
            <w:r w:rsidRPr="00E4666F">
              <w:rPr>
                <w:color w:val="000000"/>
              </w:rPr>
              <w:t>FV</w:t>
            </w:r>
            <w:r w:rsidRPr="00E4666F">
              <w:rPr>
                <w:i/>
                <w:color w:val="000000"/>
              </w:rPr>
              <w:t>LEV</w:t>
            </w:r>
          </w:p>
        </w:tc>
        <w:tc>
          <w:tcPr>
            <w:tcW w:w="1683" w:type="dxa"/>
            <w:tcBorders>
              <w:top w:val="nil"/>
              <w:left w:val="nil"/>
              <w:bottom w:val="nil"/>
              <w:right w:val="nil"/>
            </w:tcBorders>
            <w:shd w:val="clear" w:color="auto" w:fill="auto"/>
            <w:noWrap/>
            <w:vAlign w:val="bottom"/>
          </w:tcPr>
          <w:p w:rsidR="00E4666F" w:rsidRPr="00E4666F" w:rsidRDefault="00E4666F" w:rsidP="00E4666F">
            <w:pPr>
              <w:rPr>
                <w:color w:val="000000"/>
              </w:rPr>
            </w:pPr>
            <w:r w:rsidRPr="00E4666F">
              <w:rPr>
                <w:color w:val="000000"/>
              </w:rPr>
              <w:t>FVASSET</w:t>
            </w:r>
            <w:r w:rsidRPr="00E4666F">
              <w:rPr>
                <w:i/>
                <w:color w:val="000000"/>
              </w:rPr>
              <w:t>LEV</w:t>
            </w:r>
          </w:p>
        </w:tc>
        <w:tc>
          <w:tcPr>
            <w:tcW w:w="1510" w:type="dxa"/>
            <w:tcBorders>
              <w:top w:val="nil"/>
              <w:left w:val="nil"/>
              <w:bottom w:val="nil"/>
              <w:right w:val="nil"/>
            </w:tcBorders>
            <w:shd w:val="clear" w:color="auto" w:fill="auto"/>
            <w:noWrap/>
            <w:vAlign w:val="bottom"/>
          </w:tcPr>
          <w:p w:rsidR="00E4666F" w:rsidRPr="00E4666F" w:rsidRDefault="00E4666F" w:rsidP="00E4666F">
            <w:pPr>
              <w:rPr>
                <w:color w:val="000000"/>
              </w:rPr>
            </w:pPr>
            <w:r w:rsidRPr="00E4666F">
              <w:rPr>
                <w:color w:val="000000"/>
              </w:rPr>
              <w:t>FVLIAB</w:t>
            </w:r>
            <w:r w:rsidRPr="00E4666F">
              <w:rPr>
                <w:i/>
                <w:color w:val="000000"/>
              </w:rPr>
              <w:t>LEV</w:t>
            </w:r>
          </w:p>
        </w:tc>
        <w:tc>
          <w:tcPr>
            <w:tcW w:w="1247" w:type="dxa"/>
            <w:tcBorders>
              <w:top w:val="nil"/>
              <w:left w:val="nil"/>
              <w:bottom w:val="nil"/>
              <w:right w:val="nil"/>
            </w:tcBorders>
            <w:shd w:val="clear" w:color="auto" w:fill="auto"/>
            <w:noWrap/>
            <w:vAlign w:val="bottom"/>
          </w:tcPr>
          <w:p w:rsidR="00E4666F" w:rsidRPr="00E4666F" w:rsidRDefault="00E4666F" w:rsidP="00E4666F">
            <w:pPr>
              <w:rPr>
                <w:color w:val="000000"/>
              </w:rPr>
            </w:pPr>
            <w:r w:rsidRPr="00E4666F">
              <w:rPr>
                <w:color w:val="000000"/>
              </w:rPr>
              <w:t>TIER1</w:t>
            </w:r>
            <w:r w:rsidRPr="00E4666F">
              <w:rPr>
                <w:i/>
                <w:color w:val="000000"/>
              </w:rPr>
              <w:t>LEV</w:t>
            </w:r>
          </w:p>
        </w:tc>
      </w:tr>
      <w:tr w:rsidR="0075734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0"/>
                <w:szCs w:val="20"/>
              </w:rPr>
            </w:pPr>
            <w:r w:rsidRPr="000664D0">
              <w:rPr>
                <w:color w:val="000000"/>
              </w:rPr>
              <w:t>HC</w:t>
            </w:r>
            <w:r w:rsidRPr="00567224">
              <w:rPr>
                <w:i/>
                <w:color w:val="000000"/>
              </w:rPr>
              <w:t>LEV</w:t>
            </w: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-2.9800</w:t>
            </w: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-14.37</w:t>
            </w: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-13.39</w:t>
            </w: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-8.94</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2.46</w:t>
            </w:r>
          </w:p>
        </w:tc>
      </w:tr>
      <w:tr w:rsidR="0075734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0"/>
                <w:szCs w:val="20"/>
              </w:rPr>
            </w:pP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0.003</w:t>
            </w: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0.0142</w:t>
            </w:r>
          </w:p>
        </w:tc>
      </w:tr>
      <w:tr w:rsidR="0075734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0"/>
                <w:szCs w:val="20"/>
              </w:rPr>
            </w:pPr>
            <w:r w:rsidRPr="000664D0">
              <w:rPr>
                <w:color w:val="000000"/>
              </w:rPr>
              <w:t>GAAP</w:t>
            </w:r>
            <w:r w:rsidRPr="00567224">
              <w:rPr>
                <w:i/>
                <w:color w:val="000000"/>
              </w:rPr>
              <w:t>LEV</w:t>
            </w: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-16.77</w:t>
            </w: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-16.49</w:t>
            </w: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-11.07</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5.93</w:t>
            </w:r>
          </w:p>
        </w:tc>
      </w:tr>
      <w:tr w:rsidR="0075734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0"/>
                <w:szCs w:val="20"/>
              </w:rPr>
            </w:pP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r>
      <w:tr w:rsidR="0075734F" w:rsidRPr="00E4666F" w:rsidTr="0075734F">
        <w:trPr>
          <w:trHeight w:val="300"/>
        </w:trPr>
        <w:tc>
          <w:tcPr>
            <w:tcW w:w="1920" w:type="dxa"/>
            <w:tcBorders>
              <w:top w:val="nil"/>
              <w:left w:val="nil"/>
              <w:bottom w:val="nil"/>
              <w:right w:val="nil"/>
            </w:tcBorders>
            <w:shd w:val="clear" w:color="auto" w:fill="auto"/>
            <w:noWrap/>
            <w:vAlign w:val="bottom"/>
          </w:tcPr>
          <w:p w:rsidR="00E4666F" w:rsidRPr="000664D0" w:rsidRDefault="00E4666F" w:rsidP="00E4666F">
            <w:pPr>
              <w:rPr>
                <w:color w:val="000000"/>
              </w:rPr>
            </w:pPr>
            <w:r w:rsidRPr="000664D0">
              <w:rPr>
                <w:color w:val="000000"/>
              </w:rPr>
              <w:t>FV</w:t>
            </w:r>
            <w:r w:rsidRPr="00567224">
              <w:rPr>
                <w:i/>
                <w:color w:val="000000"/>
              </w:rPr>
              <w:t>LEV</w:t>
            </w: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5.36</w:t>
            </w: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11.85</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16.76</w:t>
            </w:r>
          </w:p>
        </w:tc>
      </w:tr>
      <w:tr w:rsidR="00E4666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r>
      <w:tr w:rsidR="00E4666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0"/>
                <w:szCs w:val="20"/>
              </w:rPr>
            </w:pPr>
            <w:r w:rsidRPr="000664D0">
              <w:rPr>
                <w:color w:val="000000"/>
              </w:rPr>
              <w:t>FVASSET</w:t>
            </w:r>
            <w:r w:rsidRPr="00567224">
              <w:rPr>
                <w:i/>
                <w:color w:val="000000"/>
              </w:rPr>
              <w:t>LEV</w:t>
            </w: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5.85</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15.63</w:t>
            </w:r>
          </w:p>
        </w:tc>
      </w:tr>
      <w:tr w:rsidR="00E4666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r>
      <w:tr w:rsidR="00E4666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0"/>
                <w:szCs w:val="20"/>
              </w:rPr>
            </w:pPr>
            <w:r w:rsidRPr="000664D0">
              <w:rPr>
                <w:color w:val="000000"/>
              </w:rPr>
              <w:t>FVLIAB</w:t>
            </w:r>
            <w:r w:rsidRPr="00567224">
              <w:rPr>
                <w:i/>
                <w:color w:val="000000"/>
              </w:rPr>
              <w:t>LEV</w:t>
            </w: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b/>
                <w:bCs/>
                <w:color w:val="000000"/>
              </w:rPr>
            </w:pPr>
            <w:r w:rsidRPr="00E4666F">
              <w:rPr>
                <w:b/>
                <w:bCs/>
                <w:color w:val="000000"/>
              </w:rPr>
              <w:t>12.16</w:t>
            </w:r>
          </w:p>
        </w:tc>
      </w:tr>
      <w:tr w:rsidR="00E4666F" w:rsidRPr="00E4666F" w:rsidTr="0075734F">
        <w:trPr>
          <w:trHeight w:val="288"/>
        </w:trPr>
        <w:tc>
          <w:tcPr>
            <w:tcW w:w="1920" w:type="dxa"/>
            <w:tcBorders>
              <w:top w:val="nil"/>
              <w:left w:val="nil"/>
              <w:bottom w:val="nil"/>
              <w:right w:val="nil"/>
            </w:tcBorders>
            <w:shd w:val="clear" w:color="auto" w:fill="auto"/>
            <w:noWrap/>
            <w:vAlign w:val="bottom"/>
          </w:tcPr>
          <w:p w:rsidR="00E4666F" w:rsidRPr="00E4666F" w:rsidRDefault="00E4666F" w:rsidP="00E4666F">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6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683"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510"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p>
        </w:tc>
        <w:tc>
          <w:tcPr>
            <w:tcW w:w="1247" w:type="dxa"/>
            <w:tcBorders>
              <w:top w:val="nil"/>
              <w:left w:val="nil"/>
              <w:bottom w:val="nil"/>
              <w:right w:val="nil"/>
            </w:tcBorders>
            <w:shd w:val="clear" w:color="auto" w:fill="auto"/>
            <w:noWrap/>
            <w:vAlign w:val="bottom"/>
          </w:tcPr>
          <w:p w:rsidR="00E4666F" w:rsidRPr="00E4666F" w:rsidRDefault="00E4666F" w:rsidP="00E4666F">
            <w:pPr>
              <w:jc w:val="center"/>
              <w:rPr>
                <w:color w:val="000000"/>
              </w:rPr>
            </w:pPr>
            <w:r w:rsidRPr="00E4666F">
              <w:rPr>
                <w:color w:val="000000"/>
              </w:rPr>
              <w:t>&lt;.0001</w:t>
            </w:r>
          </w:p>
        </w:tc>
      </w:tr>
    </w:tbl>
    <w:p w:rsidR="00CD1C8D" w:rsidRPr="000664D0" w:rsidRDefault="00CD1C8D" w:rsidP="002E238D"/>
    <w:p w:rsidR="007058F0" w:rsidRDefault="007058F0" w:rsidP="002E238D"/>
    <w:p w:rsidR="007058F0" w:rsidRDefault="007058F0" w:rsidP="002E238D"/>
    <w:p w:rsidR="007058F0" w:rsidRDefault="007058F0" w:rsidP="002E238D"/>
    <w:p w:rsidR="007058F0" w:rsidRDefault="007058F0" w:rsidP="002E238D"/>
    <w:p w:rsidR="007058F0" w:rsidRDefault="007058F0" w:rsidP="002E238D"/>
    <w:p w:rsidR="002E238D" w:rsidRPr="000664D0" w:rsidRDefault="007058F0" w:rsidP="002E238D">
      <w:r>
        <w:t xml:space="preserve">The variables are defined in Table 1.  The </w:t>
      </w:r>
      <w:r w:rsidR="009E41BF">
        <w:t>t</w:t>
      </w:r>
      <w:r>
        <w:t>-</w:t>
      </w:r>
      <w:r w:rsidR="009E41BF">
        <w:t>s</w:t>
      </w:r>
      <w:r>
        <w:t>tat</w:t>
      </w:r>
      <w:r w:rsidR="009E41BF">
        <w:t>i</w:t>
      </w:r>
      <w:r>
        <w:t>s</w:t>
      </w:r>
      <w:r w:rsidR="009E41BF">
        <w:t>tics</w:t>
      </w:r>
      <w:r>
        <w:t xml:space="preserve"> </w:t>
      </w:r>
      <w:r w:rsidR="006276B8">
        <w:t xml:space="preserve">in Panel A </w:t>
      </w:r>
      <w:r>
        <w:t>test whether the mean is significantly different from zero</w:t>
      </w:r>
      <w:r w:rsidR="0068203C">
        <w:t>.</w:t>
      </w:r>
      <w:r w:rsidR="006276B8">
        <w:t xml:space="preserve"> </w:t>
      </w:r>
      <w:r w:rsidR="0068203C">
        <w:t>T</w:t>
      </w:r>
      <w:r w:rsidR="006276B8">
        <w:t xml:space="preserve">he </w:t>
      </w:r>
      <w:r w:rsidR="009E41BF">
        <w:t>t</w:t>
      </w:r>
      <w:r w:rsidR="006276B8">
        <w:t>-stat</w:t>
      </w:r>
      <w:r w:rsidR="009E41BF">
        <w:t>i</w:t>
      </w:r>
      <w:r w:rsidR="006276B8">
        <w:t>s</w:t>
      </w:r>
      <w:r w:rsidR="009E41BF">
        <w:t>tics</w:t>
      </w:r>
      <w:r w:rsidR="006276B8">
        <w:t xml:space="preserve"> in Panel B test whether the means of the two relevant leverage measures are significantly different from each other</w:t>
      </w:r>
      <w:r>
        <w:t>.</w:t>
      </w:r>
    </w:p>
    <w:p w:rsidR="003A158F" w:rsidRDefault="003A158F" w:rsidP="00F8495B"/>
    <w:p w:rsidR="00CD63F8" w:rsidRPr="000664D0" w:rsidRDefault="00CD63F8" w:rsidP="00F8495B"/>
    <w:tbl>
      <w:tblPr>
        <w:tblW w:w="9000" w:type="dxa"/>
        <w:tblInd w:w="108" w:type="dxa"/>
        <w:tblLook w:val="0000"/>
      </w:tblPr>
      <w:tblGrid>
        <w:gridCol w:w="1800"/>
        <w:gridCol w:w="240"/>
        <w:gridCol w:w="576"/>
        <w:gridCol w:w="984"/>
        <w:gridCol w:w="996"/>
        <w:gridCol w:w="1164"/>
        <w:gridCol w:w="1080"/>
        <w:gridCol w:w="996"/>
        <w:gridCol w:w="236"/>
        <w:gridCol w:w="928"/>
      </w:tblGrid>
      <w:tr w:rsidR="00CD63F8" w:rsidRPr="00CD63F8" w:rsidTr="00351965">
        <w:trPr>
          <w:trHeight w:val="276"/>
        </w:trPr>
        <w:tc>
          <w:tcPr>
            <w:tcW w:w="9000" w:type="dxa"/>
            <w:gridSpan w:val="10"/>
            <w:tcBorders>
              <w:top w:val="nil"/>
              <w:left w:val="nil"/>
              <w:bottom w:val="nil"/>
              <w:right w:val="nil"/>
            </w:tcBorders>
            <w:shd w:val="clear" w:color="auto" w:fill="auto"/>
            <w:vAlign w:val="bottom"/>
          </w:tcPr>
          <w:p w:rsidR="00CD63F8" w:rsidRPr="00CD63F8" w:rsidRDefault="00CD63F8">
            <w:pPr>
              <w:jc w:val="center"/>
              <w:rPr>
                <w:b/>
                <w:bCs/>
                <w:color w:val="000000"/>
              </w:rPr>
            </w:pPr>
            <w:r w:rsidRPr="00CD63F8">
              <w:rPr>
                <w:b/>
                <w:bCs/>
                <w:color w:val="000000"/>
              </w:rPr>
              <w:t xml:space="preserve">Table </w:t>
            </w:r>
            <w:r w:rsidR="00351965">
              <w:rPr>
                <w:b/>
                <w:bCs/>
                <w:color w:val="000000"/>
              </w:rPr>
              <w:t>3</w:t>
            </w:r>
          </w:p>
          <w:p w:rsidR="00CD63F8" w:rsidRDefault="00CD63F8" w:rsidP="00B7024B">
            <w:pPr>
              <w:jc w:val="center"/>
              <w:rPr>
                <w:b/>
                <w:bCs/>
                <w:color w:val="000000"/>
              </w:rPr>
            </w:pPr>
            <w:r w:rsidRPr="00CD63F8">
              <w:rPr>
                <w:b/>
                <w:bCs/>
                <w:color w:val="000000"/>
              </w:rPr>
              <w:t xml:space="preserve">Distribution of </w:t>
            </w:r>
            <w:r w:rsidR="00325AB4">
              <w:rPr>
                <w:b/>
                <w:bCs/>
                <w:color w:val="000000"/>
              </w:rPr>
              <w:t>Bank</w:t>
            </w:r>
            <w:r w:rsidRPr="00CD63F8">
              <w:rPr>
                <w:b/>
                <w:bCs/>
                <w:color w:val="000000"/>
              </w:rPr>
              <w:t>-</w:t>
            </w:r>
            <w:r w:rsidR="00325AB4">
              <w:rPr>
                <w:b/>
                <w:bCs/>
                <w:color w:val="000000"/>
              </w:rPr>
              <w:t>Specific Pearson C</w:t>
            </w:r>
            <w:r w:rsidRPr="00CD63F8">
              <w:rPr>
                <w:b/>
                <w:bCs/>
                <w:color w:val="000000"/>
              </w:rPr>
              <w:t>orrelations between</w:t>
            </w:r>
            <w:r w:rsidR="00325AB4">
              <w:rPr>
                <w:b/>
                <w:bCs/>
                <w:color w:val="000000"/>
              </w:rPr>
              <w:t xml:space="preserve"> </w:t>
            </w:r>
            <w:r w:rsidR="009C34FF" w:rsidRPr="00CD63F8">
              <w:rPr>
                <w:b/>
                <w:bCs/>
                <w:color w:val="000000"/>
              </w:rPr>
              <w:t xml:space="preserve">TED Spread </w:t>
            </w:r>
            <w:r w:rsidR="009C34FF">
              <w:rPr>
                <w:b/>
                <w:bCs/>
                <w:color w:val="000000"/>
              </w:rPr>
              <w:t xml:space="preserve"> and </w:t>
            </w:r>
            <w:r w:rsidR="000D2F19">
              <w:rPr>
                <w:b/>
                <w:bCs/>
                <w:color w:val="000000"/>
              </w:rPr>
              <w:t xml:space="preserve">Leverage measured </w:t>
            </w:r>
            <w:r w:rsidR="009C34FF">
              <w:rPr>
                <w:b/>
                <w:bCs/>
                <w:color w:val="000000"/>
              </w:rPr>
              <w:t xml:space="preserve">using </w:t>
            </w:r>
            <w:r w:rsidR="000D2F19">
              <w:rPr>
                <w:b/>
                <w:bCs/>
                <w:color w:val="000000"/>
              </w:rPr>
              <w:t xml:space="preserve">the </w:t>
            </w:r>
            <w:r w:rsidR="009C34FF">
              <w:rPr>
                <w:b/>
                <w:bCs/>
                <w:color w:val="000000"/>
              </w:rPr>
              <w:t>F</w:t>
            </w:r>
            <w:r w:rsidR="000D2F19">
              <w:rPr>
                <w:b/>
                <w:bCs/>
                <w:color w:val="000000"/>
              </w:rPr>
              <w:t xml:space="preserve">air </w:t>
            </w:r>
            <w:r w:rsidR="009C34FF">
              <w:rPr>
                <w:b/>
                <w:bCs/>
                <w:color w:val="000000"/>
              </w:rPr>
              <w:t>V</w:t>
            </w:r>
            <w:r w:rsidR="000D2F19">
              <w:rPr>
                <w:b/>
                <w:bCs/>
                <w:color w:val="000000"/>
              </w:rPr>
              <w:t xml:space="preserve">alues of </w:t>
            </w:r>
            <w:r w:rsidR="009C34FF">
              <w:rPr>
                <w:b/>
                <w:bCs/>
                <w:color w:val="000000"/>
              </w:rPr>
              <w:t>A</w:t>
            </w:r>
            <w:r w:rsidR="000D2F19">
              <w:rPr>
                <w:b/>
                <w:bCs/>
                <w:color w:val="000000"/>
              </w:rPr>
              <w:t xml:space="preserve">ll </w:t>
            </w:r>
            <w:r w:rsidR="009C34FF">
              <w:rPr>
                <w:b/>
                <w:bCs/>
                <w:color w:val="000000"/>
              </w:rPr>
              <w:t>F</w:t>
            </w:r>
            <w:r w:rsidR="000D2F19">
              <w:rPr>
                <w:b/>
                <w:bCs/>
                <w:color w:val="000000"/>
              </w:rPr>
              <w:t xml:space="preserve">inancial </w:t>
            </w:r>
            <w:r w:rsidR="009C34FF">
              <w:rPr>
                <w:b/>
                <w:bCs/>
                <w:color w:val="000000"/>
              </w:rPr>
              <w:t>I</w:t>
            </w:r>
            <w:r w:rsidR="000D2F19">
              <w:rPr>
                <w:b/>
                <w:bCs/>
                <w:color w:val="000000"/>
              </w:rPr>
              <w:t xml:space="preserve">nstruments and </w:t>
            </w:r>
            <w:r w:rsidR="009C34FF">
              <w:rPr>
                <w:b/>
                <w:bCs/>
                <w:color w:val="000000"/>
              </w:rPr>
              <w:t>Leverage measured using</w:t>
            </w:r>
            <w:r w:rsidR="000D2F19">
              <w:rPr>
                <w:b/>
                <w:bCs/>
                <w:color w:val="000000"/>
              </w:rPr>
              <w:t xml:space="preserve"> </w:t>
            </w:r>
            <w:r w:rsidR="009C34FF">
              <w:rPr>
                <w:b/>
                <w:bCs/>
                <w:color w:val="000000"/>
              </w:rPr>
              <w:t xml:space="preserve">Fair Values of All Financial Instruments and </w:t>
            </w:r>
            <w:r w:rsidR="000D2F19">
              <w:rPr>
                <w:b/>
                <w:bCs/>
                <w:color w:val="000000"/>
              </w:rPr>
              <w:t xml:space="preserve">the </w:t>
            </w:r>
            <w:r w:rsidR="009C34FF">
              <w:rPr>
                <w:b/>
                <w:bCs/>
                <w:color w:val="000000"/>
              </w:rPr>
              <w:t>F</w:t>
            </w:r>
            <w:r w:rsidR="000D2F19">
              <w:rPr>
                <w:b/>
                <w:bCs/>
                <w:color w:val="000000"/>
              </w:rPr>
              <w:t xml:space="preserve">air </w:t>
            </w:r>
            <w:r w:rsidR="009C34FF">
              <w:rPr>
                <w:b/>
                <w:bCs/>
                <w:color w:val="000000"/>
              </w:rPr>
              <w:t>V</w:t>
            </w:r>
            <w:r w:rsidR="000D2F19">
              <w:rPr>
                <w:b/>
                <w:bCs/>
                <w:color w:val="000000"/>
              </w:rPr>
              <w:t xml:space="preserve">alue of the </w:t>
            </w:r>
            <w:r w:rsidR="009C34FF">
              <w:rPr>
                <w:b/>
                <w:bCs/>
                <w:color w:val="000000"/>
              </w:rPr>
              <w:t>C</w:t>
            </w:r>
            <w:r w:rsidR="007E3178">
              <w:rPr>
                <w:b/>
                <w:bCs/>
                <w:color w:val="000000"/>
              </w:rPr>
              <w:t xml:space="preserve">ore </w:t>
            </w:r>
            <w:r w:rsidR="009C34FF">
              <w:rPr>
                <w:b/>
                <w:bCs/>
                <w:color w:val="000000"/>
              </w:rPr>
              <w:t>D</w:t>
            </w:r>
            <w:r w:rsidR="007E3178">
              <w:rPr>
                <w:b/>
                <w:bCs/>
                <w:color w:val="000000"/>
              </w:rPr>
              <w:t xml:space="preserve">eposit </w:t>
            </w:r>
            <w:r w:rsidR="009C34FF">
              <w:rPr>
                <w:b/>
                <w:bCs/>
                <w:color w:val="000000"/>
              </w:rPr>
              <w:t>I</w:t>
            </w:r>
            <w:r w:rsidR="007E3178">
              <w:rPr>
                <w:b/>
                <w:bCs/>
                <w:color w:val="000000"/>
              </w:rPr>
              <w:t>ntangible</w:t>
            </w:r>
          </w:p>
          <w:p w:rsidR="00CD63F8" w:rsidRPr="00CD63F8" w:rsidRDefault="00CD63F8">
            <w:pPr>
              <w:jc w:val="center"/>
              <w:rPr>
                <w:b/>
                <w:bCs/>
                <w:color w:val="000000"/>
              </w:rPr>
            </w:pPr>
            <w:r w:rsidRPr="00CD63F8">
              <w:rPr>
                <w:b/>
                <w:bCs/>
                <w:color w:val="000000"/>
              </w:rPr>
              <w:t xml:space="preserve"> </w:t>
            </w:r>
          </w:p>
        </w:tc>
      </w:tr>
      <w:tr w:rsidR="00351965" w:rsidRPr="00CD63F8" w:rsidTr="00351965">
        <w:trPr>
          <w:trHeight w:val="276"/>
        </w:trPr>
        <w:tc>
          <w:tcPr>
            <w:tcW w:w="1800"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Variable</w:t>
            </w:r>
          </w:p>
        </w:tc>
        <w:tc>
          <w:tcPr>
            <w:tcW w:w="240" w:type="dxa"/>
            <w:tcBorders>
              <w:top w:val="nil"/>
              <w:left w:val="nil"/>
              <w:bottom w:val="nil"/>
              <w:right w:val="nil"/>
            </w:tcBorders>
            <w:shd w:val="clear" w:color="auto" w:fill="auto"/>
          </w:tcPr>
          <w:p w:rsidR="00CD63F8" w:rsidRPr="00CD63F8" w:rsidRDefault="00CD63F8" w:rsidP="00CD63F8">
            <w:pPr>
              <w:jc w:val="center"/>
              <w:rPr>
                <w:b/>
                <w:bCs/>
                <w:color w:val="000000"/>
              </w:rPr>
            </w:pPr>
          </w:p>
        </w:tc>
        <w:tc>
          <w:tcPr>
            <w:tcW w:w="576"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n</w:t>
            </w:r>
          </w:p>
        </w:tc>
        <w:tc>
          <w:tcPr>
            <w:tcW w:w="984"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mean</w:t>
            </w:r>
          </w:p>
        </w:tc>
        <w:tc>
          <w:tcPr>
            <w:tcW w:w="996"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std</w:t>
            </w:r>
          </w:p>
        </w:tc>
        <w:tc>
          <w:tcPr>
            <w:tcW w:w="1164"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P25</w:t>
            </w:r>
          </w:p>
        </w:tc>
        <w:tc>
          <w:tcPr>
            <w:tcW w:w="1080"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median</w:t>
            </w:r>
          </w:p>
        </w:tc>
        <w:tc>
          <w:tcPr>
            <w:tcW w:w="996" w:type="dxa"/>
            <w:tcBorders>
              <w:top w:val="nil"/>
              <w:left w:val="nil"/>
              <w:bottom w:val="nil"/>
              <w:right w:val="nil"/>
            </w:tcBorders>
            <w:shd w:val="clear" w:color="auto" w:fill="auto"/>
          </w:tcPr>
          <w:p w:rsidR="00CD63F8" w:rsidRPr="00CD63F8" w:rsidRDefault="00CD63F8" w:rsidP="00CD63F8">
            <w:pPr>
              <w:jc w:val="center"/>
              <w:rPr>
                <w:b/>
                <w:bCs/>
                <w:color w:val="000000"/>
              </w:rPr>
            </w:pPr>
            <w:r w:rsidRPr="00CD63F8">
              <w:rPr>
                <w:b/>
                <w:bCs/>
                <w:color w:val="000000"/>
              </w:rPr>
              <w:t>P75</w:t>
            </w:r>
          </w:p>
        </w:tc>
        <w:tc>
          <w:tcPr>
            <w:tcW w:w="236" w:type="dxa"/>
            <w:tcBorders>
              <w:top w:val="nil"/>
              <w:left w:val="nil"/>
              <w:bottom w:val="nil"/>
              <w:right w:val="nil"/>
            </w:tcBorders>
            <w:shd w:val="clear" w:color="auto" w:fill="auto"/>
          </w:tcPr>
          <w:p w:rsidR="00CD63F8" w:rsidRPr="00CD63F8" w:rsidRDefault="00CD63F8" w:rsidP="00CD63F8">
            <w:pPr>
              <w:jc w:val="center"/>
              <w:rPr>
                <w:b/>
                <w:bCs/>
                <w:color w:val="000000"/>
              </w:rPr>
            </w:pPr>
          </w:p>
        </w:tc>
        <w:tc>
          <w:tcPr>
            <w:tcW w:w="928" w:type="dxa"/>
            <w:tcBorders>
              <w:top w:val="nil"/>
              <w:left w:val="nil"/>
              <w:bottom w:val="nil"/>
              <w:right w:val="nil"/>
            </w:tcBorders>
            <w:shd w:val="clear" w:color="auto" w:fill="auto"/>
            <w:noWrap/>
            <w:vAlign w:val="bottom"/>
          </w:tcPr>
          <w:p w:rsidR="00CD63F8" w:rsidRPr="00CD63F8" w:rsidRDefault="00CD63F8" w:rsidP="00CD63F8">
            <w:pPr>
              <w:rPr>
                <w:b/>
                <w:bCs/>
                <w:color w:val="000000"/>
              </w:rPr>
            </w:pPr>
            <w:r w:rsidRPr="00CD63F8">
              <w:rPr>
                <w:b/>
                <w:bCs/>
                <w:color w:val="000000"/>
              </w:rPr>
              <w:t>T-stat</w:t>
            </w:r>
          </w:p>
        </w:tc>
      </w:tr>
      <w:tr w:rsidR="00351965" w:rsidRPr="00CD63F8" w:rsidTr="00351965">
        <w:trPr>
          <w:trHeight w:val="276"/>
        </w:trPr>
        <w:tc>
          <w:tcPr>
            <w:tcW w:w="1800" w:type="dxa"/>
            <w:tcBorders>
              <w:top w:val="nil"/>
              <w:left w:val="nil"/>
              <w:bottom w:val="nil"/>
              <w:right w:val="nil"/>
            </w:tcBorders>
            <w:shd w:val="clear" w:color="auto" w:fill="auto"/>
            <w:noWrap/>
            <w:vAlign w:val="bottom"/>
          </w:tcPr>
          <w:p w:rsidR="00CD63F8" w:rsidRPr="00CD63F8" w:rsidRDefault="00CD63F8" w:rsidP="00CD63F8">
            <w:pPr>
              <w:rPr>
                <w:color w:val="000000"/>
              </w:rPr>
            </w:pPr>
            <w:r w:rsidRPr="00CD63F8">
              <w:rPr>
                <w:color w:val="000000"/>
              </w:rPr>
              <w:t>FV</w:t>
            </w:r>
            <w:r w:rsidRPr="00CD63F8">
              <w:rPr>
                <w:i/>
                <w:color w:val="000000"/>
              </w:rPr>
              <w:t>LEV</w:t>
            </w:r>
          </w:p>
        </w:tc>
        <w:tc>
          <w:tcPr>
            <w:tcW w:w="240" w:type="dxa"/>
            <w:tcBorders>
              <w:top w:val="nil"/>
              <w:left w:val="nil"/>
              <w:bottom w:val="nil"/>
              <w:right w:val="nil"/>
            </w:tcBorders>
            <w:shd w:val="clear" w:color="auto" w:fill="auto"/>
            <w:noWrap/>
            <w:vAlign w:val="bottom"/>
          </w:tcPr>
          <w:p w:rsidR="00CD63F8" w:rsidRPr="00CD63F8" w:rsidRDefault="00CD63F8" w:rsidP="00CD63F8">
            <w:pPr>
              <w:rPr>
                <w:color w:val="000000"/>
              </w:rPr>
            </w:pPr>
          </w:p>
        </w:tc>
        <w:tc>
          <w:tcPr>
            <w:tcW w:w="576"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r w:rsidRPr="00CD63F8">
              <w:rPr>
                <w:color w:val="000000"/>
              </w:rPr>
              <w:t>842</w:t>
            </w:r>
          </w:p>
        </w:tc>
        <w:tc>
          <w:tcPr>
            <w:tcW w:w="984" w:type="dxa"/>
            <w:tcBorders>
              <w:top w:val="nil"/>
              <w:left w:val="nil"/>
              <w:bottom w:val="nil"/>
              <w:right w:val="nil"/>
            </w:tcBorders>
            <w:shd w:val="clear" w:color="auto" w:fill="auto"/>
            <w:noWrap/>
            <w:vAlign w:val="bottom"/>
          </w:tcPr>
          <w:p w:rsidR="00CD63F8" w:rsidRPr="00CD63F8" w:rsidRDefault="00CD63F8" w:rsidP="00CD63F8">
            <w:pPr>
              <w:jc w:val="right"/>
              <w:rPr>
                <w:b/>
                <w:bCs/>
                <w:color w:val="000000"/>
              </w:rPr>
            </w:pPr>
            <w:r w:rsidRPr="00CD63F8">
              <w:rPr>
                <w:b/>
                <w:bCs/>
                <w:color w:val="000000"/>
              </w:rPr>
              <w:t>0.2063</w:t>
            </w:r>
          </w:p>
        </w:tc>
        <w:tc>
          <w:tcPr>
            <w:tcW w:w="996"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r w:rsidRPr="00CD63F8">
              <w:rPr>
                <w:color w:val="000000"/>
              </w:rPr>
              <w:t>0.51845</w:t>
            </w:r>
          </w:p>
        </w:tc>
        <w:tc>
          <w:tcPr>
            <w:tcW w:w="1164"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r w:rsidRPr="00CD63F8">
              <w:rPr>
                <w:color w:val="000000"/>
              </w:rPr>
              <w:t>-0.19277</w:t>
            </w:r>
          </w:p>
        </w:tc>
        <w:tc>
          <w:tcPr>
            <w:tcW w:w="1080"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r w:rsidRPr="00CD63F8">
              <w:rPr>
                <w:color w:val="000000"/>
              </w:rPr>
              <w:t>0.25209</w:t>
            </w:r>
          </w:p>
        </w:tc>
        <w:tc>
          <w:tcPr>
            <w:tcW w:w="996"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r w:rsidRPr="00CD63F8">
              <w:rPr>
                <w:color w:val="000000"/>
              </w:rPr>
              <w:t>0.64849</w:t>
            </w:r>
          </w:p>
        </w:tc>
        <w:tc>
          <w:tcPr>
            <w:tcW w:w="236"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p>
        </w:tc>
        <w:tc>
          <w:tcPr>
            <w:tcW w:w="928" w:type="dxa"/>
            <w:tcBorders>
              <w:top w:val="nil"/>
              <w:left w:val="nil"/>
              <w:bottom w:val="nil"/>
              <w:right w:val="nil"/>
            </w:tcBorders>
            <w:shd w:val="clear" w:color="auto" w:fill="auto"/>
            <w:noWrap/>
            <w:vAlign w:val="bottom"/>
          </w:tcPr>
          <w:p w:rsidR="00CD63F8" w:rsidRPr="00CD63F8" w:rsidRDefault="00CD63F8" w:rsidP="00CD63F8">
            <w:pPr>
              <w:jc w:val="right"/>
              <w:rPr>
                <w:color w:val="000000"/>
              </w:rPr>
            </w:pPr>
            <w:r w:rsidRPr="00CD63F8">
              <w:rPr>
                <w:color w:val="000000"/>
              </w:rPr>
              <w:t>11.55</w:t>
            </w:r>
          </w:p>
        </w:tc>
      </w:tr>
      <w:tr w:rsidR="00351965" w:rsidRPr="00CD63F8" w:rsidTr="00351965">
        <w:trPr>
          <w:trHeight w:val="276"/>
        </w:trPr>
        <w:tc>
          <w:tcPr>
            <w:tcW w:w="1800" w:type="dxa"/>
            <w:tcBorders>
              <w:top w:val="nil"/>
              <w:left w:val="nil"/>
              <w:bottom w:val="nil"/>
              <w:right w:val="nil"/>
            </w:tcBorders>
            <w:shd w:val="clear" w:color="auto" w:fill="auto"/>
            <w:noWrap/>
            <w:vAlign w:val="bottom"/>
          </w:tcPr>
          <w:p w:rsidR="00CD63F8" w:rsidRPr="00CD63F8" w:rsidRDefault="00CD63F8" w:rsidP="00CD63F8">
            <w:pPr>
              <w:rPr>
                <w:color w:val="000000"/>
              </w:rPr>
            </w:pPr>
            <w:r w:rsidRPr="00CD63F8">
              <w:rPr>
                <w:color w:val="000000"/>
              </w:rPr>
              <w:t>FVPlus</w:t>
            </w:r>
            <w:r w:rsidR="007E3178">
              <w:rPr>
                <w:bCs/>
              </w:rPr>
              <w:t>CDI</w:t>
            </w:r>
            <w:r w:rsidRPr="00CD63F8">
              <w:rPr>
                <w:i/>
                <w:color w:val="000000"/>
              </w:rPr>
              <w:t>LEV</w:t>
            </w:r>
          </w:p>
        </w:tc>
        <w:tc>
          <w:tcPr>
            <w:tcW w:w="240" w:type="dxa"/>
            <w:tcBorders>
              <w:top w:val="nil"/>
              <w:left w:val="nil"/>
              <w:bottom w:val="nil"/>
              <w:right w:val="nil"/>
            </w:tcBorders>
            <w:shd w:val="clear" w:color="auto" w:fill="auto"/>
            <w:noWrap/>
            <w:vAlign w:val="bottom"/>
          </w:tcPr>
          <w:p w:rsidR="00CD63F8" w:rsidRPr="00CD63F8" w:rsidRDefault="00CD63F8" w:rsidP="00CD63F8">
            <w:pPr>
              <w:rPr>
                <w:color w:val="000000"/>
              </w:rPr>
            </w:pPr>
          </w:p>
        </w:tc>
        <w:tc>
          <w:tcPr>
            <w:tcW w:w="576"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r w:rsidRPr="00CD63F8">
              <w:rPr>
                <w:color w:val="000000"/>
              </w:rPr>
              <w:t>842</w:t>
            </w:r>
          </w:p>
        </w:tc>
        <w:tc>
          <w:tcPr>
            <w:tcW w:w="984" w:type="dxa"/>
            <w:tcBorders>
              <w:top w:val="nil"/>
              <w:left w:val="nil"/>
              <w:bottom w:val="nil"/>
              <w:right w:val="nil"/>
            </w:tcBorders>
            <w:shd w:val="clear" w:color="auto" w:fill="auto"/>
            <w:noWrap/>
            <w:vAlign w:val="bottom"/>
          </w:tcPr>
          <w:p w:rsidR="00CD63F8" w:rsidRPr="00CD63F8" w:rsidRDefault="00CD63F8" w:rsidP="007C1C05">
            <w:pPr>
              <w:jc w:val="right"/>
              <w:rPr>
                <w:b/>
                <w:bCs/>
                <w:color w:val="000000"/>
              </w:rPr>
            </w:pPr>
            <w:r w:rsidRPr="00CD63F8">
              <w:rPr>
                <w:b/>
                <w:bCs/>
                <w:color w:val="000000"/>
              </w:rPr>
              <w:t>0.1905</w:t>
            </w:r>
          </w:p>
        </w:tc>
        <w:tc>
          <w:tcPr>
            <w:tcW w:w="996"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r w:rsidRPr="00CD63F8">
              <w:rPr>
                <w:color w:val="000000"/>
              </w:rPr>
              <w:t>0.52136</w:t>
            </w:r>
          </w:p>
        </w:tc>
        <w:tc>
          <w:tcPr>
            <w:tcW w:w="1164"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r w:rsidRPr="00CD63F8">
              <w:rPr>
                <w:color w:val="000000"/>
              </w:rPr>
              <w:t>-0.20435</w:t>
            </w:r>
          </w:p>
        </w:tc>
        <w:tc>
          <w:tcPr>
            <w:tcW w:w="1080"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r w:rsidRPr="00CD63F8">
              <w:rPr>
                <w:color w:val="000000"/>
              </w:rPr>
              <w:t>0.24583</w:t>
            </w:r>
          </w:p>
        </w:tc>
        <w:tc>
          <w:tcPr>
            <w:tcW w:w="996"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r w:rsidRPr="00CD63F8">
              <w:rPr>
                <w:color w:val="000000"/>
              </w:rPr>
              <w:t>0.60644</w:t>
            </w:r>
          </w:p>
        </w:tc>
        <w:tc>
          <w:tcPr>
            <w:tcW w:w="236"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p>
        </w:tc>
        <w:tc>
          <w:tcPr>
            <w:tcW w:w="928" w:type="dxa"/>
            <w:tcBorders>
              <w:top w:val="nil"/>
              <w:left w:val="nil"/>
              <w:bottom w:val="nil"/>
              <w:right w:val="nil"/>
            </w:tcBorders>
            <w:shd w:val="clear" w:color="auto" w:fill="auto"/>
            <w:noWrap/>
            <w:vAlign w:val="bottom"/>
          </w:tcPr>
          <w:p w:rsidR="00CD63F8" w:rsidRPr="00CD63F8" w:rsidRDefault="00CD63F8" w:rsidP="007C1C05">
            <w:pPr>
              <w:jc w:val="right"/>
              <w:rPr>
                <w:color w:val="000000"/>
              </w:rPr>
            </w:pPr>
            <w:r w:rsidRPr="00CD63F8">
              <w:rPr>
                <w:color w:val="000000"/>
              </w:rPr>
              <w:t>10.60</w:t>
            </w:r>
          </w:p>
        </w:tc>
      </w:tr>
    </w:tbl>
    <w:p w:rsidR="003A158F" w:rsidRDefault="003A158F" w:rsidP="00F8495B"/>
    <w:p w:rsidR="004D6363" w:rsidRDefault="004D6363" w:rsidP="00F8495B"/>
    <w:p w:rsidR="00325AB4" w:rsidRPr="00325AB4" w:rsidRDefault="00325AB4" w:rsidP="00325AB4">
      <w:pPr>
        <w:rPr>
          <w:color w:val="000000"/>
        </w:rPr>
      </w:pPr>
      <w:r w:rsidRPr="00CD63F8">
        <w:rPr>
          <w:color w:val="000000"/>
        </w:rPr>
        <w:t>FVPlus</w:t>
      </w:r>
      <w:r w:rsidR="007E3178">
        <w:rPr>
          <w:bCs/>
        </w:rPr>
        <w:t>CDI</w:t>
      </w:r>
      <w:r w:rsidRPr="00CD63F8">
        <w:rPr>
          <w:i/>
          <w:color w:val="000000"/>
        </w:rPr>
        <w:t>LEV</w:t>
      </w:r>
      <w:r>
        <w:rPr>
          <w:color w:val="000000"/>
        </w:rPr>
        <w:t xml:space="preserve"> is calculated </w:t>
      </w:r>
      <w:r w:rsidR="002F60D0">
        <w:rPr>
          <w:color w:val="000000"/>
        </w:rPr>
        <w:t>similarly to FV</w:t>
      </w:r>
      <w:r w:rsidR="002F60D0" w:rsidRPr="002F60D0">
        <w:rPr>
          <w:i/>
          <w:color w:val="000000"/>
        </w:rPr>
        <w:t>LEV</w:t>
      </w:r>
      <w:r w:rsidR="002F60D0">
        <w:rPr>
          <w:color w:val="000000"/>
        </w:rPr>
        <w:t xml:space="preserve"> except t</w:t>
      </w:r>
      <w:r>
        <w:rPr>
          <w:color w:val="000000"/>
        </w:rPr>
        <w:t>he</w:t>
      </w:r>
      <w:r w:rsidR="002F60D0">
        <w:rPr>
          <w:color w:val="000000"/>
        </w:rPr>
        <w:t xml:space="preserve"> estimate of the fair value of the core deposit intangible</w:t>
      </w:r>
      <w:r w:rsidR="003B5105">
        <w:rPr>
          <w:color w:val="000000"/>
        </w:rPr>
        <w:t xml:space="preserve"> is included in assets</w:t>
      </w:r>
      <w:r w:rsidR="002F60D0">
        <w:rPr>
          <w:color w:val="000000"/>
        </w:rPr>
        <w:t xml:space="preserve">.  </w:t>
      </w:r>
      <w:r>
        <w:rPr>
          <w:color w:val="000000"/>
        </w:rPr>
        <w:t xml:space="preserve"> </w:t>
      </w:r>
    </w:p>
    <w:p w:rsidR="00325AB4" w:rsidRDefault="00325AB4" w:rsidP="00F8495B"/>
    <w:p w:rsidR="00351965" w:rsidRDefault="004D6363" w:rsidP="00351965">
      <w:pPr>
        <w:sectPr w:rsidR="00351965" w:rsidSect="003B5105">
          <w:pgSz w:w="12240" w:h="15840" w:code="1"/>
          <w:pgMar w:top="1440" w:right="1800" w:bottom="1440" w:left="1800" w:header="720" w:footer="720" w:gutter="0"/>
          <w:cols w:space="720"/>
          <w:docGrid w:linePitch="360"/>
        </w:sectPr>
      </w:pPr>
      <w:r>
        <w:t>The difference in the mean correlation coefficients are not statistically different (paired samp</w:t>
      </w:r>
      <w:r w:rsidR="005C33C3">
        <w:t xml:space="preserve">le </w:t>
      </w:r>
      <w:r w:rsidR="009E41BF">
        <w:t>t</w:t>
      </w:r>
      <w:r w:rsidR="005C33C3">
        <w:t>-statistic is -1.57 p=0.12)</w:t>
      </w:r>
    </w:p>
    <w:p w:rsidR="00351965" w:rsidRPr="000664D0" w:rsidRDefault="00351965" w:rsidP="00351965"/>
    <w:tbl>
      <w:tblPr>
        <w:tblW w:w="8880" w:type="dxa"/>
        <w:tblLook w:val="0000"/>
      </w:tblPr>
      <w:tblGrid>
        <w:gridCol w:w="1800"/>
        <w:gridCol w:w="480"/>
        <w:gridCol w:w="1800"/>
        <w:gridCol w:w="360"/>
        <w:gridCol w:w="480"/>
        <w:gridCol w:w="1680"/>
        <w:gridCol w:w="2280"/>
      </w:tblGrid>
      <w:tr w:rsidR="00351965" w:rsidRPr="000664D0" w:rsidTr="005C33C3">
        <w:trPr>
          <w:trHeight w:val="312"/>
        </w:trPr>
        <w:tc>
          <w:tcPr>
            <w:tcW w:w="8880" w:type="dxa"/>
            <w:gridSpan w:val="7"/>
            <w:tcBorders>
              <w:top w:val="nil"/>
              <w:left w:val="nil"/>
              <w:right w:val="nil"/>
            </w:tcBorders>
            <w:shd w:val="clear" w:color="auto" w:fill="auto"/>
            <w:noWrap/>
            <w:vAlign w:val="bottom"/>
          </w:tcPr>
          <w:p w:rsidR="00351965" w:rsidRPr="00D03D98" w:rsidRDefault="00351965" w:rsidP="000C3275">
            <w:pPr>
              <w:jc w:val="center"/>
              <w:rPr>
                <w:b/>
                <w:color w:val="000000"/>
              </w:rPr>
            </w:pPr>
            <w:r w:rsidRPr="00D03D98">
              <w:rPr>
                <w:b/>
                <w:color w:val="000000"/>
              </w:rPr>
              <w:t xml:space="preserve">Table </w:t>
            </w:r>
            <w:r>
              <w:rPr>
                <w:b/>
                <w:color w:val="000000"/>
              </w:rPr>
              <w:t>4</w:t>
            </w:r>
          </w:p>
        </w:tc>
      </w:tr>
      <w:tr w:rsidR="00351965" w:rsidRPr="000664D0" w:rsidTr="005C33C3">
        <w:trPr>
          <w:trHeight w:val="312"/>
        </w:trPr>
        <w:tc>
          <w:tcPr>
            <w:tcW w:w="8880" w:type="dxa"/>
            <w:gridSpan w:val="7"/>
            <w:tcBorders>
              <w:top w:val="nil"/>
              <w:left w:val="nil"/>
              <w:bottom w:val="single" w:sz="4" w:space="0" w:color="auto"/>
              <w:right w:val="nil"/>
            </w:tcBorders>
            <w:shd w:val="clear" w:color="auto" w:fill="auto"/>
            <w:noWrap/>
            <w:vAlign w:val="bottom"/>
          </w:tcPr>
          <w:p w:rsidR="00351965" w:rsidRDefault="00351965" w:rsidP="000C3275">
            <w:pPr>
              <w:jc w:val="center"/>
              <w:rPr>
                <w:b/>
                <w:color w:val="000000"/>
              </w:rPr>
            </w:pPr>
            <w:r w:rsidRPr="00D03D98">
              <w:rPr>
                <w:b/>
                <w:color w:val="000000"/>
              </w:rPr>
              <w:t xml:space="preserve">Correlations between </w:t>
            </w:r>
            <w:r w:rsidR="00972352">
              <w:rPr>
                <w:b/>
                <w:color w:val="000000"/>
              </w:rPr>
              <w:t xml:space="preserve">17 </w:t>
            </w:r>
            <w:r w:rsidR="009C34FF">
              <w:rPr>
                <w:b/>
                <w:color w:val="000000"/>
              </w:rPr>
              <w:t>Y</w:t>
            </w:r>
            <w:r w:rsidRPr="00D03D98">
              <w:rPr>
                <w:b/>
                <w:color w:val="000000"/>
              </w:rPr>
              <w:t xml:space="preserve">ear-aggregated </w:t>
            </w:r>
            <w:r w:rsidR="009C34FF">
              <w:rPr>
                <w:b/>
                <w:color w:val="000000"/>
              </w:rPr>
              <w:t>L</w:t>
            </w:r>
            <w:r w:rsidRPr="00D03D98">
              <w:rPr>
                <w:b/>
                <w:color w:val="000000"/>
              </w:rPr>
              <w:t xml:space="preserve">everage </w:t>
            </w:r>
            <w:r w:rsidR="009C34FF">
              <w:rPr>
                <w:b/>
                <w:color w:val="000000"/>
              </w:rPr>
              <w:t>M</w:t>
            </w:r>
            <w:r w:rsidRPr="00D03D98">
              <w:rPr>
                <w:b/>
                <w:color w:val="000000"/>
              </w:rPr>
              <w:t>easures and TED Spreads from 1992-2008</w:t>
            </w:r>
            <w:r>
              <w:rPr>
                <w:b/>
                <w:color w:val="000000"/>
              </w:rPr>
              <w:t xml:space="preserve"> for 1,046 Bank Holding Companies</w:t>
            </w:r>
          </w:p>
          <w:p w:rsidR="00351965" w:rsidRPr="00D03D98" w:rsidRDefault="00351965" w:rsidP="000C3275">
            <w:pPr>
              <w:jc w:val="center"/>
              <w:rPr>
                <w:b/>
                <w:color w:val="000000"/>
              </w:rPr>
            </w:pPr>
          </w:p>
        </w:tc>
      </w:tr>
      <w:tr w:rsidR="00EE700B" w:rsidRPr="000664D0" w:rsidTr="005C33C3">
        <w:trPr>
          <w:trHeight w:val="312"/>
        </w:trPr>
        <w:tc>
          <w:tcPr>
            <w:tcW w:w="1800" w:type="dxa"/>
            <w:tcBorders>
              <w:top w:val="single" w:sz="4" w:space="0" w:color="auto"/>
              <w:left w:val="nil"/>
              <w:bottom w:val="nil"/>
              <w:right w:val="nil"/>
            </w:tcBorders>
            <w:shd w:val="clear" w:color="auto" w:fill="auto"/>
            <w:noWrap/>
            <w:vAlign w:val="bottom"/>
          </w:tcPr>
          <w:p w:rsidR="00351965" w:rsidRPr="000664D0" w:rsidRDefault="00351965" w:rsidP="000C3275">
            <w:pPr>
              <w:rPr>
                <w:color w:val="000000"/>
              </w:rPr>
            </w:pPr>
          </w:p>
        </w:tc>
        <w:tc>
          <w:tcPr>
            <w:tcW w:w="480" w:type="dxa"/>
            <w:tcBorders>
              <w:top w:val="single" w:sz="4" w:space="0" w:color="auto"/>
              <w:left w:val="nil"/>
              <w:bottom w:val="nil"/>
              <w:right w:val="nil"/>
            </w:tcBorders>
            <w:shd w:val="clear" w:color="auto" w:fill="auto"/>
            <w:noWrap/>
            <w:vAlign w:val="bottom"/>
          </w:tcPr>
          <w:p w:rsidR="00351965" w:rsidRPr="00225B83" w:rsidRDefault="00351965" w:rsidP="000C3275">
            <w:pPr>
              <w:jc w:val="center"/>
              <w:rPr>
                <w:color w:val="000000"/>
              </w:rPr>
            </w:pPr>
          </w:p>
        </w:tc>
        <w:tc>
          <w:tcPr>
            <w:tcW w:w="1800" w:type="dxa"/>
            <w:tcBorders>
              <w:top w:val="single" w:sz="4" w:space="0" w:color="auto"/>
              <w:left w:val="nil"/>
              <w:bottom w:val="nil"/>
              <w:right w:val="nil"/>
            </w:tcBorders>
            <w:shd w:val="clear" w:color="auto" w:fill="auto"/>
            <w:noWrap/>
            <w:vAlign w:val="bottom"/>
          </w:tcPr>
          <w:p w:rsidR="00351965" w:rsidRPr="00225B83" w:rsidRDefault="00351965" w:rsidP="000C3275">
            <w:pPr>
              <w:jc w:val="center"/>
              <w:rPr>
                <w:color w:val="000000"/>
              </w:rPr>
            </w:pPr>
            <w:r w:rsidRPr="00225B83">
              <w:rPr>
                <w:color w:val="000000"/>
              </w:rPr>
              <w:t>FV</w:t>
            </w:r>
            <w:r w:rsidRPr="00567224">
              <w:rPr>
                <w:i/>
                <w:color w:val="000000"/>
              </w:rPr>
              <w:t>LEV</w:t>
            </w:r>
            <w:r w:rsidRPr="00225B83">
              <w:rPr>
                <w:color w:val="000000"/>
                <w:vertAlign w:val="subscript"/>
              </w:rPr>
              <w:t>I</w:t>
            </w:r>
          </w:p>
        </w:tc>
        <w:tc>
          <w:tcPr>
            <w:tcW w:w="360" w:type="dxa"/>
            <w:tcBorders>
              <w:top w:val="single" w:sz="4" w:space="0" w:color="auto"/>
              <w:left w:val="nil"/>
              <w:bottom w:val="nil"/>
              <w:right w:val="nil"/>
            </w:tcBorders>
            <w:shd w:val="clear" w:color="auto" w:fill="auto"/>
            <w:noWrap/>
            <w:vAlign w:val="bottom"/>
          </w:tcPr>
          <w:p w:rsidR="00351965" w:rsidRPr="00225B83" w:rsidRDefault="00351965" w:rsidP="000C3275">
            <w:pPr>
              <w:jc w:val="center"/>
              <w:rPr>
                <w:color w:val="000000"/>
              </w:rPr>
            </w:pPr>
          </w:p>
        </w:tc>
        <w:tc>
          <w:tcPr>
            <w:tcW w:w="480" w:type="dxa"/>
            <w:tcBorders>
              <w:top w:val="single" w:sz="4" w:space="0" w:color="auto"/>
              <w:left w:val="nil"/>
              <w:bottom w:val="nil"/>
              <w:right w:val="nil"/>
            </w:tcBorders>
            <w:shd w:val="clear" w:color="auto" w:fill="auto"/>
            <w:noWrap/>
            <w:vAlign w:val="bottom"/>
          </w:tcPr>
          <w:p w:rsidR="00351965" w:rsidRPr="00225B83" w:rsidRDefault="00351965" w:rsidP="000C3275">
            <w:pPr>
              <w:jc w:val="center"/>
              <w:rPr>
                <w:color w:val="000000"/>
              </w:rPr>
            </w:pPr>
          </w:p>
        </w:tc>
        <w:tc>
          <w:tcPr>
            <w:tcW w:w="1680" w:type="dxa"/>
            <w:tcBorders>
              <w:top w:val="single" w:sz="4" w:space="0" w:color="auto"/>
              <w:left w:val="nil"/>
              <w:bottom w:val="nil"/>
              <w:right w:val="nil"/>
            </w:tcBorders>
            <w:shd w:val="clear" w:color="auto" w:fill="auto"/>
            <w:noWrap/>
            <w:vAlign w:val="bottom"/>
          </w:tcPr>
          <w:p w:rsidR="00351965" w:rsidRPr="00225B83" w:rsidRDefault="00351965" w:rsidP="000C3275">
            <w:pPr>
              <w:jc w:val="center"/>
              <w:rPr>
                <w:color w:val="000000"/>
              </w:rPr>
            </w:pPr>
            <w:r w:rsidRPr="00225B83">
              <w:rPr>
                <w:color w:val="000000"/>
              </w:rPr>
              <w:t>TIER1</w:t>
            </w:r>
            <w:r w:rsidRPr="00567224">
              <w:rPr>
                <w:i/>
                <w:color w:val="000000"/>
              </w:rPr>
              <w:t>LEV</w:t>
            </w:r>
            <w:r w:rsidRPr="00225B83">
              <w:rPr>
                <w:color w:val="000000"/>
                <w:vertAlign w:val="subscript"/>
              </w:rPr>
              <w:t>I</w:t>
            </w:r>
          </w:p>
        </w:tc>
        <w:tc>
          <w:tcPr>
            <w:tcW w:w="2280" w:type="dxa"/>
            <w:tcBorders>
              <w:top w:val="single" w:sz="4" w:space="0" w:color="auto"/>
              <w:left w:val="nil"/>
              <w:bottom w:val="nil"/>
              <w:right w:val="nil"/>
            </w:tcBorders>
            <w:shd w:val="clear" w:color="auto" w:fill="auto"/>
            <w:noWrap/>
            <w:vAlign w:val="bottom"/>
          </w:tcPr>
          <w:p w:rsidR="00351965" w:rsidRPr="00225B83" w:rsidRDefault="00351965" w:rsidP="000C3275">
            <w:pPr>
              <w:jc w:val="center"/>
              <w:rPr>
                <w:color w:val="000000"/>
              </w:rPr>
            </w:pPr>
            <w:r w:rsidRPr="00225B83">
              <w:rPr>
                <w:color w:val="000000"/>
              </w:rPr>
              <w:t>TED S</w:t>
            </w:r>
            <w:r>
              <w:rPr>
                <w:color w:val="000000"/>
              </w:rPr>
              <w:t>pread</w:t>
            </w:r>
            <w:r w:rsidRPr="00225B83">
              <w:rPr>
                <w:color w:val="000000"/>
                <w:vertAlign w:val="subscript"/>
              </w:rPr>
              <w:t>I</w:t>
            </w:r>
          </w:p>
        </w:tc>
      </w:tr>
      <w:tr w:rsidR="00EE700B" w:rsidRPr="000664D0" w:rsidTr="005C33C3">
        <w:trPr>
          <w:trHeight w:val="312"/>
        </w:trPr>
        <w:tc>
          <w:tcPr>
            <w:tcW w:w="1800" w:type="dxa"/>
            <w:tcBorders>
              <w:top w:val="nil"/>
              <w:left w:val="nil"/>
              <w:bottom w:val="nil"/>
              <w:right w:val="nil"/>
            </w:tcBorders>
            <w:shd w:val="clear" w:color="auto" w:fill="auto"/>
            <w:noWrap/>
            <w:vAlign w:val="bottom"/>
          </w:tcPr>
          <w:p w:rsidR="00351965" w:rsidRPr="00225B83" w:rsidRDefault="00351965" w:rsidP="000C3275">
            <w:r w:rsidRPr="00225B83">
              <w:t>GAAP</w:t>
            </w:r>
            <w:r w:rsidRPr="00567224">
              <w:rPr>
                <w:i/>
              </w:rPr>
              <w:t>LEV</w:t>
            </w:r>
            <w:r w:rsidRPr="00225B83">
              <w:rPr>
                <w:vertAlign w:val="subscript"/>
              </w:rPr>
              <w:t>I</w:t>
            </w: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pPr>
          </w:p>
        </w:tc>
        <w:tc>
          <w:tcPr>
            <w:tcW w:w="180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r w:rsidRPr="00E4666F">
              <w:rPr>
                <w:b/>
                <w:bCs/>
                <w:color w:val="000000"/>
              </w:rPr>
              <w:t>0.52282</w:t>
            </w:r>
          </w:p>
        </w:tc>
        <w:tc>
          <w:tcPr>
            <w:tcW w:w="36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p>
        </w:tc>
        <w:tc>
          <w:tcPr>
            <w:tcW w:w="168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r w:rsidRPr="00E4666F">
              <w:rPr>
                <w:b/>
                <w:bCs/>
                <w:color w:val="000000"/>
              </w:rPr>
              <w:t>0.73774</w:t>
            </w:r>
          </w:p>
        </w:tc>
        <w:tc>
          <w:tcPr>
            <w:tcW w:w="2280" w:type="dxa"/>
            <w:tcBorders>
              <w:top w:val="nil"/>
              <w:left w:val="nil"/>
              <w:bottom w:val="nil"/>
              <w:right w:val="nil"/>
            </w:tcBorders>
            <w:shd w:val="clear" w:color="auto" w:fill="auto"/>
            <w:noWrap/>
            <w:vAlign w:val="bottom"/>
          </w:tcPr>
          <w:p w:rsidR="00351965" w:rsidRPr="00E4666F" w:rsidRDefault="00351965" w:rsidP="000C3275">
            <w:pPr>
              <w:jc w:val="center"/>
              <w:rPr>
                <w:color w:val="800080"/>
              </w:rPr>
            </w:pPr>
            <w:r w:rsidRPr="00E4666F">
              <w:rPr>
                <w:color w:val="800080"/>
              </w:rPr>
              <w:t>-0.16206</w:t>
            </w:r>
          </w:p>
        </w:tc>
      </w:tr>
      <w:tr w:rsidR="00EE700B" w:rsidRPr="000664D0" w:rsidTr="005C33C3">
        <w:trPr>
          <w:trHeight w:val="312"/>
        </w:trPr>
        <w:tc>
          <w:tcPr>
            <w:tcW w:w="1800" w:type="dxa"/>
            <w:tcBorders>
              <w:top w:val="nil"/>
              <w:left w:val="nil"/>
              <w:bottom w:val="nil"/>
              <w:right w:val="nil"/>
            </w:tcBorders>
            <w:shd w:val="clear" w:color="auto" w:fill="auto"/>
            <w:noWrap/>
            <w:vAlign w:val="bottom"/>
          </w:tcPr>
          <w:p w:rsidR="00351965" w:rsidRPr="00225B83" w:rsidRDefault="00351965" w:rsidP="000C3275"/>
        </w:tc>
        <w:tc>
          <w:tcPr>
            <w:tcW w:w="480" w:type="dxa"/>
            <w:tcBorders>
              <w:top w:val="nil"/>
              <w:left w:val="nil"/>
              <w:bottom w:val="nil"/>
              <w:right w:val="nil"/>
            </w:tcBorders>
            <w:shd w:val="clear" w:color="auto" w:fill="auto"/>
            <w:noWrap/>
            <w:vAlign w:val="bottom"/>
          </w:tcPr>
          <w:p w:rsidR="00351965" w:rsidRPr="00E4666F" w:rsidRDefault="00351965" w:rsidP="000C3275">
            <w:pPr>
              <w:jc w:val="center"/>
            </w:pPr>
          </w:p>
        </w:tc>
        <w:tc>
          <w:tcPr>
            <w:tcW w:w="180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0.0313</w:t>
            </w:r>
          </w:p>
        </w:tc>
        <w:tc>
          <w:tcPr>
            <w:tcW w:w="36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16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0.0007</w:t>
            </w:r>
          </w:p>
        </w:tc>
        <w:tc>
          <w:tcPr>
            <w:tcW w:w="22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0.5343</w:t>
            </w:r>
          </w:p>
        </w:tc>
      </w:tr>
      <w:tr w:rsidR="00EE700B" w:rsidRPr="000664D0" w:rsidTr="005C33C3">
        <w:trPr>
          <w:trHeight w:val="312"/>
        </w:trPr>
        <w:tc>
          <w:tcPr>
            <w:tcW w:w="1800" w:type="dxa"/>
            <w:tcBorders>
              <w:top w:val="nil"/>
              <w:left w:val="nil"/>
              <w:bottom w:val="nil"/>
              <w:right w:val="nil"/>
            </w:tcBorders>
            <w:shd w:val="clear" w:color="auto" w:fill="auto"/>
            <w:noWrap/>
            <w:vAlign w:val="bottom"/>
          </w:tcPr>
          <w:p w:rsidR="00351965" w:rsidRPr="00225B83" w:rsidRDefault="00351965" w:rsidP="000C3275">
            <w:r w:rsidRPr="00225B83">
              <w:t>FV</w:t>
            </w:r>
            <w:r w:rsidRPr="00567224">
              <w:rPr>
                <w:i/>
              </w:rPr>
              <w:t>LEV</w:t>
            </w:r>
            <w:r w:rsidRPr="00225B83">
              <w:rPr>
                <w:vertAlign w:val="subscript"/>
              </w:rPr>
              <w:t>I</w:t>
            </w: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pPr>
          </w:p>
        </w:tc>
        <w:tc>
          <w:tcPr>
            <w:tcW w:w="1800" w:type="dxa"/>
            <w:tcBorders>
              <w:top w:val="nil"/>
              <w:left w:val="nil"/>
              <w:bottom w:val="nil"/>
              <w:right w:val="nil"/>
            </w:tcBorders>
            <w:shd w:val="clear" w:color="auto" w:fill="auto"/>
            <w:noWrap/>
            <w:vAlign w:val="bottom"/>
          </w:tcPr>
          <w:p w:rsidR="00351965" w:rsidRPr="00E4666F" w:rsidRDefault="00351965" w:rsidP="000C3275">
            <w:pPr>
              <w:jc w:val="center"/>
            </w:pPr>
          </w:p>
        </w:tc>
        <w:tc>
          <w:tcPr>
            <w:tcW w:w="36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p>
        </w:tc>
        <w:tc>
          <w:tcPr>
            <w:tcW w:w="16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0.27818</w:t>
            </w:r>
          </w:p>
        </w:tc>
        <w:tc>
          <w:tcPr>
            <w:tcW w:w="2280" w:type="dxa"/>
            <w:tcBorders>
              <w:top w:val="nil"/>
              <w:left w:val="nil"/>
              <w:bottom w:val="nil"/>
              <w:right w:val="nil"/>
            </w:tcBorders>
            <w:shd w:val="clear" w:color="auto" w:fill="auto"/>
            <w:noWrap/>
            <w:vAlign w:val="bottom"/>
          </w:tcPr>
          <w:p w:rsidR="00351965" w:rsidRPr="00E4666F" w:rsidRDefault="00351965" w:rsidP="000C3275">
            <w:pPr>
              <w:jc w:val="center"/>
              <w:rPr>
                <w:b/>
                <w:bCs/>
                <w:color w:val="000000"/>
              </w:rPr>
            </w:pPr>
            <w:r w:rsidRPr="00E4666F">
              <w:rPr>
                <w:b/>
                <w:bCs/>
                <w:color w:val="000000"/>
              </w:rPr>
              <w:t>0.52688</w:t>
            </w:r>
          </w:p>
        </w:tc>
      </w:tr>
      <w:tr w:rsidR="00EE700B" w:rsidRPr="000664D0" w:rsidTr="005C33C3">
        <w:trPr>
          <w:trHeight w:val="312"/>
        </w:trPr>
        <w:tc>
          <w:tcPr>
            <w:tcW w:w="1800" w:type="dxa"/>
            <w:tcBorders>
              <w:top w:val="nil"/>
              <w:left w:val="nil"/>
              <w:bottom w:val="nil"/>
              <w:right w:val="nil"/>
            </w:tcBorders>
            <w:shd w:val="clear" w:color="auto" w:fill="auto"/>
            <w:noWrap/>
            <w:vAlign w:val="bottom"/>
          </w:tcPr>
          <w:p w:rsidR="00351965" w:rsidRPr="00225B83" w:rsidRDefault="00351965" w:rsidP="000C3275"/>
        </w:tc>
        <w:tc>
          <w:tcPr>
            <w:tcW w:w="480" w:type="dxa"/>
            <w:tcBorders>
              <w:top w:val="nil"/>
              <w:left w:val="nil"/>
              <w:bottom w:val="nil"/>
              <w:right w:val="nil"/>
            </w:tcBorders>
            <w:shd w:val="clear" w:color="auto" w:fill="auto"/>
            <w:noWrap/>
            <w:vAlign w:val="bottom"/>
          </w:tcPr>
          <w:p w:rsidR="00351965" w:rsidRPr="00E4666F" w:rsidRDefault="00351965" w:rsidP="000C3275">
            <w:pPr>
              <w:jc w:val="center"/>
            </w:pPr>
          </w:p>
        </w:tc>
        <w:tc>
          <w:tcPr>
            <w:tcW w:w="1800" w:type="dxa"/>
            <w:tcBorders>
              <w:top w:val="nil"/>
              <w:left w:val="nil"/>
              <w:bottom w:val="nil"/>
              <w:right w:val="nil"/>
            </w:tcBorders>
            <w:shd w:val="clear" w:color="auto" w:fill="auto"/>
            <w:noWrap/>
            <w:vAlign w:val="bottom"/>
          </w:tcPr>
          <w:p w:rsidR="00351965" w:rsidRPr="00E4666F" w:rsidRDefault="00351965" w:rsidP="000C3275">
            <w:pPr>
              <w:jc w:val="center"/>
            </w:pPr>
          </w:p>
        </w:tc>
        <w:tc>
          <w:tcPr>
            <w:tcW w:w="36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16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0.2796</w:t>
            </w:r>
          </w:p>
        </w:tc>
        <w:tc>
          <w:tcPr>
            <w:tcW w:w="22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0.0298</w:t>
            </w:r>
          </w:p>
        </w:tc>
      </w:tr>
      <w:tr w:rsidR="00EE700B" w:rsidRPr="000664D0" w:rsidTr="005C33C3">
        <w:trPr>
          <w:trHeight w:val="312"/>
        </w:trPr>
        <w:tc>
          <w:tcPr>
            <w:tcW w:w="1800" w:type="dxa"/>
            <w:tcBorders>
              <w:top w:val="nil"/>
              <w:left w:val="nil"/>
              <w:bottom w:val="nil"/>
              <w:right w:val="nil"/>
            </w:tcBorders>
            <w:shd w:val="clear" w:color="auto" w:fill="auto"/>
            <w:noWrap/>
            <w:vAlign w:val="bottom"/>
          </w:tcPr>
          <w:p w:rsidR="00351965" w:rsidRPr="00225B83" w:rsidRDefault="00351965" w:rsidP="000C3275">
            <w:pPr>
              <w:rPr>
                <w:color w:val="000000"/>
              </w:rPr>
            </w:pPr>
            <w:r w:rsidRPr="00225B83">
              <w:rPr>
                <w:color w:val="000000"/>
              </w:rPr>
              <w:t>TIER1</w:t>
            </w:r>
            <w:r w:rsidRPr="00567224">
              <w:rPr>
                <w:i/>
                <w:color w:val="000000"/>
              </w:rPr>
              <w:t>LEV</w:t>
            </w:r>
            <w:r w:rsidRPr="00225B83">
              <w:rPr>
                <w:color w:val="000000"/>
                <w:vertAlign w:val="subscript"/>
              </w:rPr>
              <w:t>I</w:t>
            </w: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180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36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1680" w:type="dxa"/>
            <w:tcBorders>
              <w:top w:val="nil"/>
              <w:left w:val="nil"/>
              <w:bottom w:val="nil"/>
              <w:right w:val="nil"/>
            </w:tcBorders>
            <w:shd w:val="clear" w:color="auto" w:fill="auto"/>
            <w:noWrap/>
            <w:vAlign w:val="bottom"/>
          </w:tcPr>
          <w:p w:rsidR="00351965" w:rsidRPr="00E4666F" w:rsidRDefault="00351965" w:rsidP="000C3275">
            <w:pPr>
              <w:rPr>
                <w:color w:val="000000"/>
              </w:rPr>
            </w:pPr>
          </w:p>
        </w:tc>
        <w:tc>
          <w:tcPr>
            <w:tcW w:w="2280" w:type="dxa"/>
            <w:tcBorders>
              <w:top w:val="nil"/>
              <w:left w:val="nil"/>
              <w:bottom w:val="nil"/>
              <w:right w:val="nil"/>
            </w:tcBorders>
            <w:shd w:val="clear" w:color="auto" w:fill="auto"/>
            <w:noWrap/>
            <w:vAlign w:val="bottom"/>
          </w:tcPr>
          <w:p w:rsidR="00351965" w:rsidRPr="00E4666F" w:rsidRDefault="00351965" w:rsidP="000C3275">
            <w:pPr>
              <w:jc w:val="center"/>
              <w:rPr>
                <w:color w:val="800080"/>
              </w:rPr>
            </w:pPr>
            <w:r w:rsidRPr="00E4666F">
              <w:rPr>
                <w:color w:val="800080"/>
              </w:rPr>
              <w:t>-0.19256</w:t>
            </w:r>
          </w:p>
        </w:tc>
      </w:tr>
      <w:tr w:rsidR="00EE700B" w:rsidRPr="000664D0" w:rsidTr="005C33C3">
        <w:trPr>
          <w:trHeight w:val="312"/>
        </w:trPr>
        <w:tc>
          <w:tcPr>
            <w:tcW w:w="1800" w:type="dxa"/>
            <w:tcBorders>
              <w:top w:val="nil"/>
              <w:left w:val="nil"/>
              <w:bottom w:val="nil"/>
              <w:right w:val="nil"/>
            </w:tcBorders>
            <w:shd w:val="clear" w:color="auto" w:fill="auto"/>
            <w:noWrap/>
            <w:vAlign w:val="bottom"/>
          </w:tcPr>
          <w:p w:rsidR="00351965" w:rsidRPr="00B717AF" w:rsidRDefault="00351965" w:rsidP="000C3275">
            <w:pPr>
              <w:rPr>
                <w:color w:val="000000"/>
                <w:sz w:val="22"/>
                <w:szCs w:val="22"/>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180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36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4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16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p>
        </w:tc>
        <w:tc>
          <w:tcPr>
            <w:tcW w:w="2280" w:type="dxa"/>
            <w:tcBorders>
              <w:top w:val="nil"/>
              <w:left w:val="nil"/>
              <w:bottom w:val="nil"/>
              <w:right w:val="nil"/>
            </w:tcBorders>
            <w:shd w:val="clear" w:color="auto" w:fill="auto"/>
            <w:noWrap/>
            <w:vAlign w:val="bottom"/>
          </w:tcPr>
          <w:p w:rsidR="00351965" w:rsidRPr="00E4666F" w:rsidRDefault="00351965" w:rsidP="000C3275">
            <w:pPr>
              <w:jc w:val="center"/>
              <w:rPr>
                <w:color w:val="000000"/>
              </w:rPr>
            </w:pPr>
            <w:r w:rsidRPr="00E4666F">
              <w:rPr>
                <w:color w:val="000000"/>
              </w:rPr>
              <w:t>0.459</w:t>
            </w:r>
          </w:p>
        </w:tc>
      </w:tr>
    </w:tbl>
    <w:p w:rsidR="00351965" w:rsidRDefault="00351965" w:rsidP="00351965"/>
    <w:p w:rsidR="00351965" w:rsidRDefault="00351965" w:rsidP="00351965"/>
    <w:p w:rsidR="00351965" w:rsidRPr="000664D0" w:rsidRDefault="00351965" w:rsidP="00351965">
      <w:r>
        <w:t>The variables are defined in Table 1 with the I subscript denoting that the variable is aggregated at the sample-year level with the exception of TIER1</w:t>
      </w:r>
      <w:r w:rsidRPr="00567224">
        <w:rPr>
          <w:i/>
          <w:color w:val="000000"/>
        </w:rPr>
        <w:t>LEV</w:t>
      </w:r>
      <w:r w:rsidRPr="00225B83">
        <w:rPr>
          <w:color w:val="000000"/>
          <w:vertAlign w:val="subscript"/>
        </w:rPr>
        <w:t>I</w:t>
      </w:r>
      <w:r>
        <w:rPr>
          <w:color w:val="000000"/>
        </w:rPr>
        <w:t>, which is the sample year mean.</w:t>
      </w:r>
      <w:r>
        <w:rPr>
          <w:color w:val="000000"/>
          <w:vertAlign w:val="subscript"/>
        </w:rPr>
        <w:t xml:space="preserve">  </w:t>
      </w:r>
    </w:p>
    <w:p w:rsidR="00351965" w:rsidRPr="000664D0" w:rsidRDefault="00351965" w:rsidP="00351965"/>
    <w:p w:rsidR="004D6363" w:rsidRPr="000664D0" w:rsidRDefault="004D6363" w:rsidP="00F8495B"/>
    <w:sectPr w:rsidR="004D6363" w:rsidRPr="000664D0" w:rsidSect="005C33C3">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49" w:rsidRDefault="002D5749">
      <w:r>
        <w:separator/>
      </w:r>
    </w:p>
  </w:endnote>
  <w:endnote w:type="continuationSeparator" w:id="0">
    <w:p w:rsidR="002D5749" w:rsidRDefault="002D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KEDJH O+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2F" w:rsidRDefault="00DB6138" w:rsidP="00AC0B2F">
    <w:pPr>
      <w:pStyle w:val="Footer"/>
      <w:framePr w:wrap="around" w:vAnchor="text" w:hAnchor="margin" w:xAlign="center" w:y="1"/>
      <w:rPr>
        <w:rStyle w:val="PageNumber"/>
      </w:rPr>
    </w:pPr>
    <w:r>
      <w:rPr>
        <w:rStyle w:val="PageNumber"/>
      </w:rPr>
      <w:fldChar w:fldCharType="begin"/>
    </w:r>
    <w:r w:rsidR="009D482F">
      <w:rPr>
        <w:rStyle w:val="PageNumber"/>
      </w:rPr>
      <w:instrText xml:space="preserve">PAGE  </w:instrText>
    </w:r>
    <w:r>
      <w:rPr>
        <w:rStyle w:val="PageNumber"/>
      </w:rPr>
      <w:fldChar w:fldCharType="end"/>
    </w:r>
  </w:p>
  <w:p w:rsidR="009D482F" w:rsidRDefault="009D48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2F" w:rsidRDefault="00DB6138" w:rsidP="00AC0B2F">
    <w:pPr>
      <w:pStyle w:val="Footer"/>
      <w:framePr w:wrap="around" w:vAnchor="text" w:hAnchor="margin" w:xAlign="center" w:y="1"/>
      <w:rPr>
        <w:rStyle w:val="PageNumber"/>
      </w:rPr>
    </w:pPr>
    <w:r>
      <w:rPr>
        <w:rStyle w:val="PageNumber"/>
      </w:rPr>
      <w:fldChar w:fldCharType="begin"/>
    </w:r>
    <w:r w:rsidR="009D482F">
      <w:rPr>
        <w:rStyle w:val="PageNumber"/>
      </w:rPr>
      <w:instrText xml:space="preserve">PAGE  </w:instrText>
    </w:r>
    <w:r>
      <w:rPr>
        <w:rStyle w:val="PageNumber"/>
      </w:rPr>
      <w:fldChar w:fldCharType="separate"/>
    </w:r>
    <w:r w:rsidR="00257C28">
      <w:rPr>
        <w:rStyle w:val="PageNumber"/>
        <w:noProof/>
      </w:rPr>
      <w:t>23</w:t>
    </w:r>
    <w:r>
      <w:rPr>
        <w:rStyle w:val="PageNumber"/>
      </w:rPr>
      <w:fldChar w:fldCharType="end"/>
    </w:r>
  </w:p>
  <w:p w:rsidR="009D482F" w:rsidRDefault="009D4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49" w:rsidRDefault="002D5749">
      <w:r>
        <w:separator/>
      </w:r>
    </w:p>
  </w:footnote>
  <w:footnote w:type="continuationSeparator" w:id="0">
    <w:p w:rsidR="002D5749" w:rsidRDefault="002D5749">
      <w:r>
        <w:continuationSeparator/>
      </w:r>
    </w:p>
  </w:footnote>
  <w:footnote w:id="1">
    <w:p w:rsidR="009D482F" w:rsidRDefault="009D482F">
      <w:pPr>
        <w:pStyle w:val="FootnoteText"/>
      </w:pPr>
      <w:r>
        <w:rPr>
          <w:rStyle w:val="FootnoteReference"/>
        </w:rPr>
        <w:footnoteRef/>
      </w:r>
      <w:r>
        <w:t xml:space="preserve"> Another exception is Barth et al. (1995), which includes a related analysis but the fair value information in this study is limited to only investment securities making the analysis too weak to draw meaningful conclusions. </w:t>
      </w:r>
    </w:p>
  </w:footnote>
  <w:footnote w:id="2">
    <w:p w:rsidR="009D482F" w:rsidRPr="00521DF2" w:rsidRDefault="009D482F" w:rsidP="00521DF2">
      <w:pPr>
        <w:rPr>
          <w:sz w:val="20"/>
          <w:szCs w:val="20"/>
        </w:rPr>
      </w:pPr>
      <w:r>
        <w:rPr>
          <w:rStyle w:val="FootnoteReference"/>
        </w:rPr>
        <w:footnoteRef/>
      </w:r>
      <w:r>
        <w:t xml:space="preserve"> </w:t>
      </w:r>
      <w:r w:rsidRPr="00521DF2">
        <w:rPr>
          <w:sz w:val="20"/>
          <w:szCs w:val="20"/>
        </w:rPr>
        <w:t>A limitation of focusing on how a change in total assets would affect equity is that it does not provide information on the probability that such a change in assets will occur. Therefore in 1988 the notion of risk-based capital was also implemented as part of the Basel Accord.</w:t>
      </w:r>
      <w:r>
        <w:rPr>
          <w:sz w:val="20"/>
          <w:szCs w:val="20"/>
        </w:rPr>
        <w:t xml:space="preserve">  As discussed by the GAO (2009), regulators in the US continue to use non-risk based leverage ratios along with risk-based capital requirements to provide a cushion against risks not explicitly covered in the risk-base</w:t>
      </w:r>
      <w:r w:rsidR="007A1E8E">
        <w:rPr>
          <w:sz w:val="20"/>
          <w:szCs w:val="20"/>
        </w:rPr>
        <w:t>d</w:t>
      </w:r>
      <w:r>
        <w:rPr>
          <w:sz w:val="20"/>
          <w:szCs w:val="20"/>
        </w:rPr>
        <w:t xml:space="preserve"> capital requirements.  </w:t>
      </w:r>
    </w:p>
    <w:p w:rsidR="009D482F" w:rsidRDefault="009D482F">
      <w:pPr>
        <w:pStyle w:val="FootnoteText"/>
      </w:pPr>
    </w:p>
  </w:footnote>
  <w:footnote w:id="3">
    <w:p w:rsidR="009D482F" w:rsidRDefault="009D482F">
      <w:pPr>
        <w:pStyle w:val="FootnoteText"/>
      </w:pPr>
      <w:r>
        <w:rPr>
          <w:rStyle w:val="FootnoteReference"/>
        </w:rPr>
        <w:footnoteRef/>
      </w:r>
      <w:r>
        <w:t xml:space="preserve"> The TED spread gets its name from the fact that initially it was the difference between the interest rates for three-month </w:t>
      </w:r>
      <w:r w:rsidRPr="006B2558">
        <w:t>U.S. Treasuries</w:t>
      </w:r>
      <w:r>
        <w:t xml:space="preserve"> contracts and the three-month </w:t>
      </w:r>
      <w:r w:rsidRPr="006B2558">
        <w:t>Eurodollars</w:t>
      </w:r>
      <w:r>
        <w:t xml:space="preserve"> contract as represented by LIBOR. TED is an </w:t>
      </w:r>
      <w:r w:rsidRPr="006B2558">
        <w:t>acronym</w:t>
      </w:r>
      <w:r>
        <w:t xml:space="preserve"> formed from </w:t>
      </w:r>
      <w:r>
        <w:rPr>
          <w:i/>
          <w:iCs/>
        </w:rPr>
        <w:t>T-Bill</w:t>
      </w:r>
      <w:r>
        <w:t xml:space="preserve"> and </w:t>
      </w:r>
      <w:r>
        <w:rPr>
          <w:i/>
          <w:iCs/>
        </w:rPr>
        <w:t>ED</w:t>
      </w:r>
      <w:r>
        <w:t xml:space="preserve">, the ticker symbol for the Eurodollar futures contract. Because the </w:t>
      </w:r>
      <w:r w:rsidRPr="006B2558">
        <w:t>Chicago Mercantile Exchange</w:t>
      </w:r>
      <w:r>
        <w:t xml:space="preserve"> dropped T-bill </w:t>
      </w:r>
      <w:r w:rsidRPr="006B2558">
        <w:t>futures</w:t>
      </w:r>
      <w:r>
        <w:t xml:space="preserve">, TED is no longer based on futures.  </w:t>
      </w:r>
    </w:p>
  </w:footnote>
  <w:footnote w:id="4">
    <w:p w:rsidR="009D482F" w:rsidRPr="00CB0F8E" w:rsidRDefault="009D482F">
      <w:pPr>
        <w:pStyle w:val="FootnoteText"/>
      </w:pPr>
      <w:r>
        <w:rPr>
          <w:rStyle w:val="FootnoteReference"/>
        </w:rPr>
        <w:footnoteRef/>
      </w:r>
      <w:r>
        <w:t xml:space="preserve"> We used </w:t>
      </w:r>
      <w:r w:rsidRPr="00CB0F8E">
        <w:t xml:space="preserve">the 3-month LIBOR in US dollars </w:t>
      </w:r>
      <w:r>
        <w:t>(</w:t>
      </w:r>
      <w:r w:rsidRPr="00CB0F8E">
        <w:t>US0003M index</w:t>
      </w:r>
      <w:r>
        <w:t>)</w:t>
      </w:r>
      <w:r w:rsidRPr="00CB0F8E">
        <w:t xml:space="preserve"> minus the 3-month US T-bill </w:t>
      </w:r>
      <w:r>
        <w:t>(</w:t>
      </w:r>
      <w:r w:rsidRPr="00CB0F8E">
        <w:t>GB03 Govt</w:t>
      </w:r>
      <w:r>
        <w:t>).</w:t>
      </w:r>
    </w:p>
  </w:footnote>
  <w:footnote w:id="5">
    <w:p w:rsidR="009D482F" w:rsidRDefault="009D482F">
      <w:pPr>
        <w:pStyle w:val="FootnoteText"/>
      </w:pPr>
      <w:r>
        <w:rPr>
          <w:rStyle w:val="FootnoteReference"/>
        </w:rPr>
        <w:footnoteRef/>
      </w:r>
      <w:r>
        <w:t xml:space="preserve"> We do not include the historical costs of trading securities because they are not a required disclosure so they are not available in the SNL database.</w:t>
      </w:r>
    </w:p>
  </w:footnote>
  <w:footnote w:id="6">
    <w:p w:rsidR="009D482F" w:rsidRPr="00AB6BB5" w:rsidRDefault="009D482F">
      <w:pPr>
        <w:pStyle w:val="FootnoteText"/>
      </w:pPr>
      <w:r>
        <w:rPr>
          <w:rStyle w:val="FootnoteReference"/>
        </w:rPr>
        <w:footnoteRef/>
      </w:r>
      <w:r>
        <w:t xml:space="preserve"> </w:t>
      </w:r>
      <w:r w:rsidRPr="00AB6BB5">
        <w:t>SNL only c</w:t>
      </w:r>
      <w:r>
        <w:t xml:space="preserve">ollects the FAS 107 disclosures, which are need </w:t>
      </w:r>
      <w:r w:rsidRPr="00AB6BB5">
        <w:t>to calculate FV</w:t>
      </w:r>
      <w:r w:rsidRPr="00AB6BB5">
        <w:rPr>
          <w:i/>
          <w:iCs/>
        </w:rPr>
        <w:t>LEV</w:t>
      </w:r>
      <w:r w:rsidRPr="00AB6BB5">
        <w:rPr>
          <w:iCs/>
        </w:rPr>
        <w:t>,</w:t>
      </w:r>
      <w:r w:rsidRPr="00AB6BB5">
        <w:t xml:space="preserve"> for firms classified by SNL as primarily operating as a bank or thrift</w:t>
      </w:r>
    </w:p>
  </w:footnote>
  <w:footnote w:id="7">
    <w:p w:rsidR="009D482F" w:rsidRDefault="009D482F">
      <w:pPr>
        <w:pStyle w:val="FootnoteText"/>
      </w:pPr>
      <w:r>
        <w:rPr>
          <w:rStyle w:val="FootnoteReference"/>
        </w:rPr>
        <w:footnoteRef/>
      </w:r>
      <w:r>
        <w:t xml:space="preserve"> SNL does not provide the detail on foreign deposits to separate out those that are non-term.</w:t>
      </w:r>
    </w:p>
  </w:footnote>
  <w:footnote w:id="8">
    <w:p w:rsidR="009D482F" w:rsidRDefault="009D482F" w:rsidP="00351965">
      <w:pPr>
        <w:pStyle w:val="FootnoteText"/>
      </w:pPr>
      <w:r>
        <w:rPr>
          <w:rStyle w:val="FootnoteReference"/>
        </w:rPr>
        <w:footnoteRef/>
      </w:r>
      <w:r>
        <w:t xml:space="preserve"> There are still several assumptions that we needed to make in performing this calculation, details of which we can provide upon request.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2D68"/>
    <w:multiLevelType w:val="hybridMultilevel"/>
    <w:tmpl w:val="57F6148C"/>
    <w:lvl w:ilvl="0" w:tplc="B6682712">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6DA3EEA"/>
    <w:multiLevelType w:val="multilevel"/>
    <w:tmpl w:val="BEA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35256"/>
    <w:multiLevelType w:val="hybridMultilevel"/>
    <w:tmpl w:val="75582ECC"/>
    <w:lvl w:ilvl="0" w:tplc="199E227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AB5002"/>
    <w:rsid w:val="00000755"/>
    <w:rsid w:val="00000A0A"/>
    <w:rsid w:val="00000FF2"/>
    <w:rsid w:val="0000121B"/>
    <w:rsid w:val="000019C3"/>
    <w:rsid w:val="00001E02"/>
    <w:rsid w:val="0000210B"/>
    <w:rsid w:val="00002239"/>
    <w:rsid w:val="000023E4"/>
    <w:rsid w:val="000027BF"/>
    <w:rsid w:val="00002A47"/>
    <w:rsid w:val="00002E90"/>
    <w:rsid w:val="00003413"/>
    <w:rsid w:val="00003E12"/>
    <w:rsid w:val="0000414A"/>
    <w:rsid w:val="00004234"/>
    <w:rsid w:val="0000423A"/>
    <w:rsid w:val="000042CA"/>
    <w:rsid w:val="000052DB"/>
    <w:rsid w:val="000057C3"/>
    <w:rsid w:val="00005A6B"/>
    <w:rsid w:val="00005F74"/>
    <w:rsid w:val="0000647B"/>
    <w:rsid w:val="000065D0"/>
    <w:rsid w:val="00006670"/>
    <w:rsid w:val="000067A0"/>
    <w:rsid w:val="00006915"/>
    <w:rsid w:val="00006B1F"/>
    <w:rsid w:val="00006B4E"/>
    <w:rsid w:val="00006D99"/>
    <w:rsid w:val="00006E71"/>
    <w:rsid w:val="000070C0"/>
    <w:rsid w:val="000071D2"/>
    <w:rsid w:val="00007253"/>
    <w:rsid w:val="00007840"/>
    <w:rsid w:val="00007A3C"/>
    <w:rsid w:val="00007BE5"/>
    <w:rsid w:val="00007D1D"/>
    <w:rsid w:val="00007DC5"/>
    <w:rsid w:val="0001028C"/>
    <w:rsid w:val="00010E01"/>
    <w:rsid w:val="00010FD8"/>
    <w:rsid w:val="0001100F"/>
    <w:rsid w:val="000110AA"/>
    <w:rsid w:val="000113D0"/>
    <w:rsid w:val="00011736"/>
    <w:rsid w:val="0001179A"/>
    <w:rsid w:val="00011E57"/>
    <w:rsid w:val="00012D88"/>
    <w:rsid w:val="00013362"/>
    <w:rsid w:val="00013410"/>
    <w:rsid w:val="00013516"/>
    <w:rsid w:val="0001371D"/>
    <w:rsid w:val="00013836"/>
    <w:rsid w:val="000138E9"/>
    <w:rsid w:val="00013B4A"/>
    <w:rsid w:val="00013DD1"/>
    <w:rsid w:val="00014327"/>
    <w:rsid w:val="000143B6"/>
    <w:rsid w:val="00014D19"/>
    <w:rsid w:val="000150B2"/>
    <w:rsid w:val="000150CF"/>
    <w:rsid w:val="00015125"/>
    <w:rsid w:val="0001517A"/>
    <w:rsid w:val="000157C7"/>
    <w:rsid w:val="000157D6"/>
    <w:rsid w:val="00015870"/>
    <w:rsid w:val="00015BF5"/>
    <w:rsid w:val="00015E85"/>
    <w:rsid w:val="00015EA1"/>
    <w:rsid w:val="00015F3C"/>
    <w:rsid w:val="0001644B"/>
    <w:rsid w:val="000164C8"/>
    <w:rsid w:val="00016A3F"/>
    <w:rsid w:val="00016A60"/>
    <w:rsid w:val="000175EF"/>
    <w:rsid w:val="0001790F"/>
    <w:rsid w:val="00017DC2"/>
    <w:rsid w:val="000200A3"/>
    <w:rsid w:val="000201D8"/>
    <w:rsid w:val="000204F4"/>
    <w:rsid w:val="0002071C"/>
    <w:rsid w:val="00020742"/>
    <w:rsid w:val="000207C5"/>
    <w:rsid w:val="000215B6"/>
    <w:rsid w:val="000216BB"/>
    <w:rsid w:val="00021FF0"/>
    <w:rsid w:val="00022290"/>
    <w:rsid w:val="000227D6"/>
    <w:rsid w:val="00023430"/>
    <w:rsid w:val="0002395B"/>
    <w:rsid w:val="0002399E"/>
    <w:rsid w:val="00023A2F"/>
    <w:rsid w:val="00023C4F"/>
    <w:rsid w:val="00023E6A"/>
    <w:rsid w:val="00023F4F"/>
    <w:rsid w:val="0002408B"/>
    <w:rsid w:val="00024102"/>
    <w:rsid w:val="000241D7"/>
    <w:rsid w:val="00024745"/>
    <w:rsid w:val="00024B38"/>
    <w:rsid w:val="00024B94"/>
    <w:rsid w:val="00024D74"/>
    <w:rsid w:val="000251BD"/>
    <w:rsid w:val="00025A17"/>
    <w:rsid w:val="00025EF7"/>
    <w:rsid w:val="00025F14"/>
    <w:rsid w:val="000261BC"/>
    <w:rsid w:val="00026359"/>
    <w:rsid w:val="000264DA"/>
    <w:rsid w:val="000266F2"/>
    <w:rsid w:val="00026A6C"/>
    <w:rsid w:val="00026DC1"/>
    <w:rsid w:val="00027451"/>
    <w:rsid w:val="000275B1"/>
    <w:rsid w:val="00027B1B"/>
    <w:rsid w:val="00027EFD"/>
    <w:rsid w:val="00030539"/>
    <w:rsid w:val="000306ED"/>
    <w:rsid w:val="0003098B"/>
    <w:rsid w:val="00030A9F"/>
    <w:rsid w:val="00030AE7"/>
    <w:rsid w:val="0003116C"/>
    <w:rsid w:val="0003118E"/>
    <w:rsid w:val="00031267"/>
    <w:rsid w:val="0003128B"/>
    <w:rsid w:val="000312C4"/>
    <w:rsid w:val="00031662"/>
    <w:rsid w:val="00031703"/>
    <w:rsid w:val="0003193E"/>
    <w:rsid w:val="00031A85"/>
    <w:rsid w:val="00031B47"/>
    <w:rsid w:val="00031CB3"/>
    <w:rsid w:val="000326A8"/>
    <w:rsid w:val="000327C1"/>
    <w:rsid w:val="00032D5C"/>
    <w:rsid w:val="00032E20"/>
    <w:rsid w:val="00032E94"/>
    <w:rsid w:val="00032FDF"/>
    <w:rsid w:val="00033157"/>
    <w:rsid w:val="0003356F"/>
    <w:rsid w:val="00033638"/>
    <w:rsid w:val="000353F3"/>
    <w:rsid w:val="00035588"/>
    <w:rsid w:val="0003585A"/>
    <w:rsid w:val="00036477"/>
    <w:rsid w:val="0003697F"/>
    <w:rsid w:val="00036F57"/>
    <w:rsid w:val="000373CE"/>
    <w:rsid w:val="0003740D"/>
    <w:rsid w:val="000375D1"/>
    <w:rsid w:val="00037B00"/>
    <w:rsid w:val="00037CC2"/>
    <w:rsid w:val="000400FE"/>
    <w:rsid w:val="000403FD"/>
    <w:rsid w:val="00040402"/>
    <w:rsid w:val="0004045A"/>
    <w:rsid w:val="000409EC"/>
    <w:rsid w:val="00040B7A"/>
    <w:rsid w:val="00040E68"/>
    <w:rsid w:val="00041425"/>
    <w:rsid w:val="00041726"/>
    <w:rsid w:val="00041994"/>
    <w:rsid w:val="00041BEE"/>
    <w:rsid w:val="00041E0A"/>
    <w:rsid w:val="00041F87"/>
    <w:rsid w:val="000421B4"/>
    <w:rsid w:val="000422F8"/>
    <w:rsid w:val="000424F4"/>
    <w:rsid w:val="00042754"/>
    <w:rsid w:val="000428B9"/>
    <w:rsid w:val="00042981"/>
    <w:rsid w:val="00042A66"/>
    <w:rsid w:val="000433A0"/>
    <w:rsid w:val="00043540"/>
    <w:rsid w:val="000435B2"/>
    <w:rsid w:val="00043859"/>
    <w:rsid w:val="0004395D"/>
    <w:rsid w:val="00043B22"/>
    <w:rsid w:val="00043C23"/>
    <w:rsid w:val="00043E57"/>
    <w:rsid w:val="00043EAB"/>
    <w:rsid w:val="00043F86"/>
    <w:rsid w:val="00044734"/>
    <w:rsid w:val="00044B9D"/>
    <w:rsid w:val="00044F04"/>
    <w:rsid w:val="000455E6"/>
    <w:rsid w:val="0004563A"/>
    <w:rsid w:val="0004576A"/>
    <w:rsid w:val="00045C63"/>
    <w:rsid w:val="00046287"/>
    <w:rsid w:val="000467AC"/>
    <w:rsid w:val="000469B7"/>
    <w:rsid w:val="00046A19"/>
    <w:rsid w:val="00046C58"/>
    <w:rsid w:val="00047FB8"/>
    <w:rsid w:val="00050535"/>
    <w:rsid w:val="000509A6"/>
    <w:rsid w:val="00050CB8"/>
    <w:rsid w:val="00051425"/>
    <w:rsid w:val="000516C0"/>
    <w:rsid w:val="00051A48"/>
    <w:rsid w:val="00051CC0"/>
    <w:rsid w:val="00052088"/>
    <w:rsid w:val="00052469"/>
    <w:rsid w:val="00052B64"/>
    <w:rsid w:val="00052D72"/>
    <w:rsid w:val="00052E8C"/>
    <w:rsid w:val="000530EC"/>
    <w:rsid w:val="00053266"/>
    <w:rsid w:val="0005343D"/>
    <w:rsid w:val="000538D2"/>
    <w:rsid w:val="00053C51"/>
    <w:rsid w:val="00053CF7"/>
    <w:rsid w:val="00054100"/>
    <w:rsid w:val="00054107"/>
    <w:rsid w:val="0005419C"/>
    <w:rsid w:val="000543FB"/>
    <w:rsid w:val="00054515"/>
    <w:rsid w:val="0005455B"/>
    <w:rsid w:val="000546E7"/>
    <w:rsid w:val="00054AE9"/>
    <w:rsid w:val="00054B89"/>
    <w:rsid w:val="00054EF8"/>
    <w:rsid w:val="00055178"/>
    <w:rsid w:val="00055244"/>
    <w:rsid w:val="000553A5"/>
    <w:rsid w:val="00055460"/>
    <w:rsid w:val="00055549"/>
    <w:rsid w:val="00055653"/>
    <w:rsid w:val="00055847"/>
    <w:rsid w:val="00055883"/>
    <w:rsid w:val="00056069"/>
    <w:rsid w:val="000560F9"/>
    <w:rsid w:val="00056760"/>
    <w:rsid w:val="000573EC"/>
    <w:rsid w:val="000574CC"/>
    <w:rsid w:val="00057C72"/>
    <w:rsid w:val="00057E22"/>
    <w:rsid w:val="00057FAD"/>
    <w:rsid w:val="0006021B"/>
    <w:rsid w:val="000605EF"/>
    <w:rsid w:val="000607A1"/>
    <w:rsid w:val="000607E6"/>
    <w:rsid w:val="00060A99"/>
    <w:rsid w:val="00060C0C"/>
    <w:rsid w:val="0006101B"/>
    <w:rsid w:val="000612D1"/>
    <w:rsid w:val="00061516"/>
    <w:rsid w:val="000616C0"/>
    <w:rsid w:val="000616CB"/>
    <w:rsid w:val="00061F14"/>
    <w:rsid w:val="00061FAC"/>
    <w:rsid w:val="0006277B"/>
    <w:rsid w:val="00063402"/>
    <w:rsid w:val="00063696"/>
    <w:rsid w:val="00063784"/>
    <w:rsid w:val="000639AE"/>
    <w:rsid w:val="00063C3F"/>
    <w:rsid w:val="00063C66"/>
    <w:rsid w:val="00063F8B"/>
    <w:rsid w:val="00064735"/>
    <w:rsid w:val="000649AB"/>
    <w:rsid w:val="00064A20"/>
    <w:rsid w:val="00064BC8"/>
    <w:rsid w:val="00064C03"/>
    <w:rsid w:val="000651E6"/>
    <w:rsid w:val="00065657"/>
    <w:rsid w:val="000657AC"/>
    <w:rsid w:val="00065D2F"/>
    <w:rsid w:val="00065EAE"/>
    <w:rsid w:val="00066246"/>
    <w:rsid w:val="00066484"/>
    <w:rsid w:val="000664D0"/>
    <w:rsid w:val="000669D2"/>
    <w:rsid w:val="00066D79"/>
    <w:rsid w:val="00066E7A"/>
    <w:rsid w:val="00067709"/>
    <w:rsid w:val="0006783C"/>
    <w:rsid w:val="00067875"/>
    <w:rsid w:val="00067DB9"/>
    <w:rsid w:val="00067F19"/>
    <w:rsid w:val="00067F9D"/>
    <w:rsid w:val="0007032B"/>
    <w:rsid w:val="000704E6"/>
    <w:rsid w:val="00070B4B"/>
    <w:rsid w:val="00070B61"/>
    <w:rsid w:val="00071020"/>
    <w:rsid w:val="000711C3"/>
    <w:rsid w:val="000711DB"/>
    <w:rsid w:val="00071467"/>
    <w:rsid w:val="0007183E"/>
    <w:rsid w:val="00071946"/>
    <w:rsid w:val="00071C8F"/>
    <w:rsid w:val="00071DCE"/>
    <w:rsid w:val="0007212A"/>
    <w:rsid w:val="000723E7"/>
    <w:rsid w:val="00072420"/>
    <w:rsid w:val="000727E6"/>
    <w:rsid w:val="000729CC"/>
    <w:rsid w:val="00072A53"/>
    <w:rsid w:val="00072C42"/>
    <w:rsid w:val="00072EDC"/>
    <w:rsid w:val="000737BB"/>
    <w:rsid w:val="00073994"/>
    <w:rsid w:val="00073EAC"/>
    <w:rsid w:val="00073EE3"/>
    <w:rsid w:val="000744C5"/>
    <w:rsid w:val="000745C4"/>
    <w:rsid w:val="00074628"/>
    <w:rsid w:val="00074EE0"/>
    <w:rsid w:val="000751E2"/>
    <w:rsid w:val="000754E7"/>
    <w:rsid w:val="0007582A"/>
    <w:rsid w:val="0007589F"/>
    <w:rsid w:val="000759DE"/>
    <w:rsid w:val="00075B81"/>
    <w:rsid w:val="00075FC3"/>
    <w:rsid w:val="00076041"/>
    <w:rsid w:val="00076061"/>
    <w:rsid w:val="00076341"/>
    <w:rsid w:val="00076497"/>
    <w:rsid w:val="00076916"/>
    <w:rsid w:val="000770FA"/>
    <w:rsid w:val="0007776D"/>
    <w:rsid w:val="000778CD"/>
    <w:rsid w:val="00077A0E"/>
    <w:rsid w:val="00077A53"/>
    <w:rsid w:val="00077A56"/>
    <w:rsid w:val="00077F11"/>
    <w:rsid w:val="00077FF1"/>
    <w:rsid w:val="000804FF"/>
    <w:rsid w:val="00080737"/>
    <w:rsid w:val="00080F72"/>
    <w:rsid w:val="00080FDC"/>
    <w:rsid w:val="00080FFF"/>
    <w:rsid w:val="000815B5"/>
    <w:rsid w:val="00081CD4"/>
    <w:rsid w:val="0008205E"/>
    <w:rsid w:val="00082154"/>
    <w:rsid w:val="000824B2"/>
    <w:rsid w:val="000825F0"/>
    <w:rsid w:val="00082668"/>
    <w:rsid w:val="00082A18"/>
    <w:rsid w:val="00082AD5"/>
    <w:rsid w:val="00082F0E"/>
    <w:rsid w:val="00082F63"/>
    <w:rsid w:val="00083479"/>
    <w:rsid w:val="000834CE"/>
    <w:rsid w:val="000836A4"/>
    <w:rsid w:val="00083BBF"/>
    <w:rsid w:val="00084733"/>
    <w:rsid w:val="000848A9"/>
    <w:rsid w:val="00084AB0"/>
    <w:rsid w:val="00084BD3"/>
    <w:rsid w:val="00084DD2"/>
    <w:rsid w:val="00084F29"/>
    <w:rsid w:val="000853AF"/>
    <w:rsid w:val="0008544D"/>
    <w:rsid w:val="00085790"/>
    <w:rsid w:val="00085A6F"/>
    <w:rsid w:val="00086254"/>
    <w:rsid w:val="00086C32"/>
    <w:rsid w:val="00086DAB"/>
    <w:rsid w:val="000874CE"/>
    <w:rsid w:val="000876AE"/>
    <w:rsid w:val="00087737"/>
    <w:rsid w:val="00087C7D"/>
    <w:rsid w:val="00090275"/>
    <w:rsid w:val="00090705"/>
    <w:rsid w:val="0009086B"/>
    <w:rsid w:val="00090B09"/>
    <w:rsid w:val="000910C2"/>
    <w:rsid w:val="00091153"/>
    <w:rsid w:val="00091592"/>
    <w:rsid w:val="00091D95"/>
    <w:rsid w:val="0009202A"/>
    <w:rsid w:val="00092AF9"/>
    <w:rsid w:val="00092BE1"/>
    <w:rsid w:val="000935E2"/>
    <w:rsid w:val="0009385B"/>
    <w:rsid w:val="0009390A"/>
    <w:rsid w:val="000939D5"/>
    <w:rsid w:val="00093C10"/>
    <w:rsid w:val="00093D7B"/>
    <w:rsid w:val="0009408B"/>
    <w:rsid w:val="0009448A"/>
    <w:rsid w:val="00094AAE"/>
    <w:rsid w:val="00094AC6"/>
    <w:rsid w:val="00094B9B"/>
    <w:rsid w:val="00094CEE"/>
    <w:rsid w:val="00095043"/>
    <w:rsid w:val="0009512F"/>
    <w:rsid w:val="0009519F"/>
    <w:rsid w:val="00095302"/>
    <w:rsid w:val="00095386"/>
    <w:rsid w:val="00095F60"/>
    <w:rsid w:val="00096657"/>
    <w:rsid w:val="00096969"/>
    <w:rsid w:val="000969B1"/>
    <w:rsid w:val="00096BBC"/>
    <w:rsid w:val="00096C7B"/>
    <w:rsid w:val="00096CEE"/>
    <w:rsid w:val="00097601"/>
    <w:rsid w:val="000976BC"/>
    <w:rsid w:val="00097753"/>
    <w:rsid w:val="00097905"/>
    <w:rsid w:val="00097B8A"/>
    <w:rsid w:val="000A0071"/>
    <w:rsid w:val="000A02EB"/>
    <w:rsid w:val="000A034D"/>
    <w:rsid w:val="000A070C"/>
    <w:rsid w:val="000A08EA"/>
    <w:rsid w:val="000A097D"/>
    <w:rsid w:val="000A0B64"/>
    <w:rsid w:val="000A1049"/>
    <w:rsid w:val="000A1199"/>
    <w:rsid w:val="000A11B5"/>
    <w:rsid w:val="000A1368"/>
    <w:rsid w:val="000A13E6"/>
    <w:rsid w:val="000A143F"/>
    <w:rsid w:val="000A1896"/>
    <w:rsid w:val="000A1E2E"/>
    <w:rsid w:val="000A1ED3"/>
    <w:rsid w:val="000A204E"/>
    <w:rsid w:val="000A2367"/>
    <w:rsid w:val="000A26F5"/>
    <w:rsid w:val="000A271F"/>
    <w:rsid w:val="000A2AF0"/>
    <w:rsid w:val="000A2DD7"/>
    <w:rsid w:val="000A37C3"/>
    <w:rsid w:val="000A3A41"/>
    <w:rsid w:val="000A3ACF"/>
    <w:rsid w:val="000A3BF5"/>
    <w:rsid w:val="000A434D"/>
    <w:rsid w:val="000A4644"/>
    <w:rsid w:val="000A46AD"/>
    <w:rsid w:val="000A5149"/>
    <w:rsid w:val="000A53E0"/>
    <w:rsid w:val="000A55C9"/>
    <w:rsid w:val="000A59A7"/>
    <w:rsid w:val="000A5D57"/>
    <w:rsid w:val="000A5D82"/>
    <w:rsid w:val="000A6608"/>
    <w:rsid w:val="000A6B96"/>
    <w:rsid w:val="000A6DEF"/>
    <w:rsid w:val="000A7042"/>
    <w:rsid w:val="000A7370"/>
    <w:rsid w:val="000A73D2"/>
    <w:rsid w:val="000A765D"/>
    <w:rsid w:val="000A7E1C"/>
    <w:rsid w:val="000A7F3D"/>
    <w:rsid w:val="000B0829"/>
    <w:rsid w:val="000B08A8"/>
    <w:rsid w:val="000B1028"/>
    <w:rsid w:val="000B112E"/>
    <w:rsid w:val="000B1176"/>
    <w:rsid w:val="000B16F0"/>
    <w:rsid w:val="000B19F7"/>
    <w:rsid w:val="000B1C5A"/>
    <w:rsid w:val="000B1E24"/>
    <w:rsid w:val="000B1F12"/>
    <w:rsid w:val="000B2047"/>
    <w:rsid w:val="000B204E"/>
    <w:rsid w:val="000B2334"/>
    <w:rsid w:val="000B2416"/>
    <w:rsid w:val="000B257A"/>
    <w:rsid w:val="000B26A6"/>
    <w:rsid w:val="000B2A5F"/>
    <w:rsid w:val="000B2AF1"/>
    <w:rsid w:val="000B2B74"/>
    <w:rsid w:val="000B2BFC"/>
    <w:rsid w:val="000B35FE"/>
    <w:rsid w:val="000B3955"/>
    <w:rsid w:val="000B395E"/>
    <w:rsid w:val="000B3A5D"/>
    <w:rsid w:val="000B3BF3"/>
    <w:rsid w:val="000B3C2E"/>
    <w:rsid w:val="000B3D38"/>
    <w:rsid w:val="000B3E53"/>
    <w:rsid w:val="000B3FE1"/>
    <w:rsid w:val="000B408B"/>
    <w:rsid w:val="000B43F6"/>
    <w:rsid w:val="000B452B"/>
    <w:rsid w:val="000B45BE"/>
    <w:rsid w:val="000B5212"/>
    <w:rsid w:val="000B5258"/>
    <w:rsid w:val="000B5473"/>
    <w:rsid w:val="000B54F6"/>
    <w:rsid w:val="000B6007"/>
    <w:rsid w:val="000B6502"/>
    <w:rsid w:val="000B7096"/>
    <w:rsid w:val="000B7716"/>
    <w:rsid w:val="000B7752"/>
    <w:rsid w:val="000B7966"/>
    <w:rsid w:val="000B7A3B"/>
    <w:rsid w:val="000B7B03"/>
    <w:rsid w:val="000B7DEB"/>
    <w:rsid w:val="000B7FDF"/>
    <w:rsid w:val="000C0232"/>
    <w:rsid w:val="000C02E9"/>
    <w:rsid w:val="000C04C1"/>
    <w:rsid w:val="000C050F"/>
    <w:rsid w:val="000C0C50"/>
    <w:rsid w:val="000C1122"/>
    <w:rsid w:val="000C1139"/>
    <w:rsid w:val="000C1197"/>
    <w:rsid w:val="000C1296"/>
    <w:rsid w:val="000C1E10"/>
    <w:rsid w:val="000C1F3C"/>
    <w:rsid w:val="000C2C27"/>
    <w:rsid w:val="000C2F0A"/>
    <w:rsid w:val="000C3275"/>
    <w:rsid w:val="000C3583"/>
    <w:rsid w:val="000C3589"/>
    <w:rsid w:val="000C360A"/>
    <w:rsid w:val="000C3B9A"/>
    <w:rsid w:val="000C3BC6"/>
    <w:rsid w:val="000C3F65"/>
    <w:rsid w:val="000C42CA"/>
    <w:rsid w:val="000C474A"/>
    <w:rsid w:val="000C47C2"/>
    <w:rsid w:val="000C484F"/>
    <w:rsid w:val="000C52BF"/>
    <w:rsid w:val="000C59C1"/>
    <w:rsid w:val="000C5A1E"/>
    <w:rsid w:val="000C6A27"/>
    <w:rsid w:val="000C6B8F"/>
    <w:rsid w:val="000C6D99"/>
    <w:rsid w:val="000C6DA7"/>
    <w:rsid w:val="000C6EC2"/>
    <w:rsid w:val="000C71E3"/>
    <w:rsid w:val="000C79E7"/>
    <w:rsid w:val="000C7C9F"/>
    <w:rsid w:val="000D0077"/>
    <w:rsid w:val="000D0248"/>
    <w:rsid w:val="000D061E"/>
    <w:rsid w:val="000D12C1"/>
    <w:rsid w:val="000D1BF3"/>
    <w:rsid w:val="000D2153"/>
    <w:rsid w:val="000D22D1"/>
    <w:rsid w:val="000D24A9"/>
    <w:rsid w:val="000D259D"/>
    <w:rsid w:val="000D277B"/>
    <w:rsid w:val="000D27CD"/>
    <w:rsid w:val="000D2A1D"/>
    <w:rsid w:val="000D2D60"/>
    <w:rsid w:val="000D2DD1"/>
    <w:rsid w:val="000D2F19"/>
    <w:rsid w:val="000D32DB"/>
    <w:rsid w:val="000D32E5"/>
    <w:rsid w:val="000D3442"/>
    <w:rsid w:val="000D395F"/>
    <w:rsid w:val="000D3A8D"/>
    <w:rsid w:val="000D3F8A"/>
    <w:rsid w:val="000D3FC5"/>
    <w:rsid w:val="000D4314"/>
    <w:rsid w:val="000D43DB"/>
    <w:rsid w:val="000D5906"/>
    <w:rsid w:val="000D5982"/>
    <w:rsid w:val="000D5C04"/>
    <w:rsid w:val="000D5F09"/>
    <w:rsid w:val="000D6131"/>
    <w:rsid w:val="000D663A"/>
    <w:rsid w:val="000D6ADC"/>
    <w:rsid w:val="000D715B"/>
    <w:rsid w:val="000D72CC"/>
    <w:rsid w:val="000D74AB"/>
    <w:rsid w:val="000D74F9"/>
    <w:rsid w:val="000D7993"/>
    <w:rsid w:val="000D79F4"/>
    <w:rsid w:val="000D7B57"/>
    <w:rsid w:val="000D7BE6"/>
    <w:rsid w:val="000D7DA9"/>
    <w:rsid w:val="000D7ED2"/>
    <w:rsid w:val="000E0346"/>
    <w:rsid w:val="000E0CAB"/>
    <w:rsid w:val="000E102E"/>
    <w:rsid w:val="000E112D"/>
    <w:rsid w:val="000E11D0"/>
    <w:rsid w:val="000E131E"/>
    <w:rsid w:val="000E1761"/>
    <w:rsid w:val="000E1E3C"/>
    <w:rsid w:val="000E1FBF"/>
    <w:rsid w:val="000E203D"/>
    <w:rsid w:val="000E21F7"/>
    <w:rsid w:val="000E2768"/>
    <w:rsid w:val="000E2B97"/>
    <w:rsid w:val="000E2BD2"/>
    <w:rsid w:val="000E2E21"/>
    <w:rsid w:val="000E2E42"/>
    <w:rsid w:val="000E3205"/>
    <w:rsid w:val="000E3672"/>
    <w:rsid w:val="000E36D9"/>
    <w:rsid w:val="000E393E"/>
    <w:rsid w:val="000E39FC"/>
    <w:rsid w:val="000E40E5"/>
    <w:rsid w:val="000E4148"/>
    <w:rsid w:val="000E4A0B"/>
    <w:rsid w:val="000E4B19"/>
    <w:rsid w:val="000E4DEA"/>
    <w:rsid w:val="000E4E7C"/>
    <w:rsid w:val="000E4F83"/>
    <w:rsid w:val="000E4FC0"/>
    <w:rsid w:val="000E53E4"/>
    <w:rsid w:val="000E5883"/>
    <w:rsid w:val="000E59C9"/>
    <w:rsid w:val="000E5D71"/>
    <w:rsid w:val="000E6049"/>
    <w:rsid w:val="000E606F"/>
    <w:rsid w:val="000E608A"/>
    <w:rsid w:val="000E651A"/>
    <w:rsid w:val="000E6627"/>
    <w:rsid w:val="000E6E50"/>
    <w:rsid w:val="000E7150"/>
    <w:rsid w:val="000E729F"/>
    <w:rsid w:val="000E7369"/>
    <w:rsid w:val="000E7404"/>
    <w:rsid w:val="000E757A"/>
    <w:rsid w:val="000E7812"/>
    <w:rsid w:val="000E7980"/>
    <w:rsid w:val="000E7C3B"/>
    <w:rsid w:val="000E7E76"/>
    <w:rsid w:val="000F0261"/>
    <w:rsid w:val="000F0A2D"/>
    <w:rsid w:val="000F0CEB"/>
    <w:rsid w:val="000F1458"/>
    <w:rsid w:val="000F174A"/>
    <w:rsid w:val="000F1AAF"/>
    <w:rsid w:val="000F1AD7"/>
    <w:rsid w:val="000F2008"/>
    <w:rsid w:val="000F2C29"/>
    <w:rsid w:val="000F2CBA"/>
    <w:rsid w:val="000F2CC1"/>
    <w:rsid w:val="000F3070"/>
    <w:rsid w:val="000F35EA"/>
    <w:rsid w:val="000F3706"/>
    <w:rsid w:val="000F3B9F"/>
    <w:rsid w:val="000F3D72"/>
    <w:rsid w:val="000F3E61"/>
    <w:rsid w:val="000F3F84"/>
    <w:rsid w:val="000F4F0E"/>
    <w:rsid w:val="000F51F3"/>
    <w:rsid w:val="000F52EE"/>
    <w:rsid w:val="000F55AE"/>
    <w:rsid w:val="000F5A32"/>
    <w:rsid w:val="000F5D65"/>
    <w:rsid w:val="000F6288"/>
    <w:rsid w:val="000F6959"/>
    <w:rsid w:val="000F69D2"/>
    <w:rsid w:val="000F6D55"/>
    <w:rsid w:val="000F6D87"/>
    <w:rsid w:val="000F6D97"/>
    <w:rsid w:val="000F6E01"/>
    <w:rsid w:val="000F70B7"/>
    <w:rsid w:val="000F71EB"/>
    <w:rsid w:val="000F7834"/>
    <w:rsid w:val="001001EC"/>
    <w:rsid w:val="00100278"/>
    <w:rsid w:val="00100490"/>
    <w:rsid w:val="00100D42"/>
    <w:rsid w:val="00100DCF"/>
    <w:rsid w:val="00100F2E"/>
    <w:rsid w:val="001016F5"/>
    <w:rsid w:val="00101848"/>
    <w:rsid w:val="001021E1"/>
    <w:rsid w:val="001022AF"/>
    <w:rsid w:val="00102B95"/>
    <w:rsid w:val="00102C6E"/>
    <w:rsid w:val="00102C70"/>
    <w:rsid w:val="00102CD2"/>
    <w:rsid w:val="00102DD3"/>
    <w:rsid w:val="00102EEE"/>
    <w:rsid w:val="00102F78"/>
    <w:rsid w:val="00102FF4"/>
    <w:rsid w:val="00103063"/>
    <w:rsid w:val="00103277"/>
    <w:rsid w:val="0010341D"/>
    <w:rsid w:val="00103B96"/>
    <w:rsid w:val="00103EFA"/>
    <w:rsid w:val="00103FA0"/>
    <w:rsid w:val="0010414D"/>
    <w:rsid w:val="00104208"/>
    <w:rsid w:val="001042DA"/>
    <w:rsid w:val="00104E15"/>
    <w:rsid w:val="00104FB9"/>
    <w:rsid w:val="00105CD4"/>
    <w:rsid w:val="0010602A"/>
    <w:rsid w:val="0010679C"/>
    <w:rsid w:val="00106A1B"/>
    <w:rsid w:val="00107266"/>
    <w:rsid w:val="00107499"/>
    <w:rsid w:val="001075D5"/>
    <w:rsid w:val="00107B71"/>
    <w:rsid w:val="00107BD0"/>
    <w:rsid w:val="00107D51"/>
    <w:rsid w:val="0011029D"/>
    <w:rsid w:val="00110581"/>
    <w:rsid w:val="00110949"/>
    <w:rsid w:val="00110A29"/>
    <w:rsid w:val="00110B1F"/>
    <w:rsid w:val="00110F06"/>
    <w:rsid w:val="001113A7"/>
    <w:rsid w:val="0011177C"/>
    <w:rsid w:val="00111CB9"/>
    <w:rsid w:val="00111CE0"/>
    <w:rsid w:val="00111E73"/>
    <w:rsid w:val="00111EF9"/>
    <w:rsid w:val="00112014"/>
    <w:rsid w:val="00112213"/>
    <w:rsid w:val="001123F1"/>
    <w:rsid w:val="00112426"/>
    <w:rsid w:val="00112752"/>
    <w:rsid w:val="00112911"/>
    <w:rsid w:val="00112A38"/>
    <w:rsid w:val="00112ADC"/>
    <w:rsid w:val="00112FE0"/>
    <w:rsid w:val="0011303E"/>
    <w:rsid w:val="00113399"/>
    <w:rsid w:val="00113AA7"/>
    <w:rsid w:val="00113ADE"/>
    <w:rsid w:val="00113BA9"/>
    <w:rsid w:val="0011485D"/>
    <w:rsid w:val="00114C8E"/>
    <w:rsid w:val="00114E8F"/>
    <w:rsid w:val="00114EE0"/>
    <w:rsid w:val="0011511B"/>
    <w:rsid w:val="00115361"/>
    <w:rsid w:val="001154D1"/>
    <w:rsid w:val="00115B7C"/>
    <w:rsid w:val="00115B7F"/>
    <w:rsid w:val="00115BA9"/>
    <w:rsid w:val="00116167"/>
    <w:rsid w:val="00116580"/>
    <w:rsid w:val="00116840"/>
    <w:rsid w:val="00116E95"/>
    <w:rsid w:val="00116FA6"/>
    <w:rsid w:val="0011730F"/>
    <w:rsid w:val="00117750"/>
    <w:rsid w:val="00117AD4"/>
    <w:rsid w:val="00117CF0"/>
    <w:rsid w:val="00117F99"/>
    <w:rsid w:val="00120351"/>
    <w:rsid w:val="00120353"/>
    <w:rsid w:val="00120643"/>
    <w:rsid w:val="0012071F"/>
    <w:rsid w:val="00120AAC"/>
    <w:rsid w:val="00120C45"/>
    <w:rsid w:val="00121186"/>
    <w:rsid w:val="0012135E"/>
    <w:rsid w:val="0012148F"/>
    <w:rsid w:val="00121786"/>
    <w:rsid w:val="00121818"/>
    <w:rsid w:val="0012193B"/>
    <w:rsid w:val="00121959"/>
    <w:rsid w:val="00121FEC"/>
    <w:rsid w:val="00122366"/>
    <w:rsid w:val="001224D0"/>
    <w:rsid w:val="00122941"/>
    <w:rsid w:val="0012294A"/>
    <w:rsid w:val="00122E28"/>
    <w:rsid w:val="0012336A"/>
    <w:rsid w:val="001234E2"/>
    <w:rsid w:val="001237B3"/>
    <w:rsid w:val="00123F16"/>
    <w:rsid w:val="00124572"/>
    <w:rsid w:val="00124963"/>
    <w:rsid w:val="00125CE5"/>
    <w:rsid w:val="001261BF"/>
    <w:rsid w:val="0012667F"/>
    <w:rsid w:val="00126F69"/>
    <w:rsid w:val="0012714A"/>
    <w:rsid w:val="001277D9"/>
    <w:rsid w:val="0012797B"/>
    <w:rsid w:val="001279FB"/>
    <w:rsid w:val="00127FEC"/>
    <w:rsid w:val="0013013C"/>
    <w:rsid w:val="00130517"/>
    <w:rsid w:val="00130554"/>
    <w:rsid w:val="001305B4"/>
    <w:rsid w:val="00130857"/>
    <w:rsid w:val="00130899"/>
    <w:rsid w:val="00130900"/>
    <w:rsid w:val="00130AC5"/>
    <w:rsid w:val="00130B85"/>
    <w:rsid w:val="001311F5"/>
    <w:rsid w:val="001312BE"/>
    <w:rsid w:val="0013133D"/>
    <w:rsid w:val="00131908"/>
    <w:rsid w:val="00131B72"/>
    <w:rsid w:val="0013202B"/>
    <w:rsid w:val="001320EC"/>
    <w:rsid w:val="0013233A"/>
    <w:rsid w:val="001329FC"/>
    <w:rsid w:val="00132B93"/>
    <w:rsid w:val="00132F33"/>
    <w:rsid w:val="0013316B"/>
    <w:rsid w:val="00133347"/>
    <w:rsid w:val="00133598"/>
    <w:rsid w:val="0013423B"/>
    <w:rsid w:val="0013452D"/>
    <w:rsid w:val="00134724"/>
    <w:rsid w:val="00134795"/>
    <w:rsid w:val="001348FD"/>
    <w:rsid w:val="00134AC2"/>
    <w:rsid w:val="001351E2"/>
    <w:rsid w:val="0013597B"/>
    <w:rsid w:val="001359EF"/>
    <w:rsid w:val="00135CE3"/>
    <w:rsid w:val="00136701"/>
    <w:rsid w:val="001367B4"/>
    <w:rsid w:val="00136A7F"/>
    <w:rsid w:val="00136F1E"/>
    <w:rsid w:val="001370A8"/>
    <w:rsid w:val="001375DB"/>
    <w:rsid w:val="001377CA"/>
    <w:rsid w:val="001403CE"/>
    <w:rsid w:val="00140483"/>
    <w:rsid w:val="00140628"/>
    <w:rsid w:val="001407FB"/>
    <w:rsid w:val="00140811"/>
    <w:rsid w:val="0014083B"/>
    <w:rsid w:val="00140A33"/>
    <w:rsid w:val="00140D7C"/>
    <w:rsid w:val="001410A4"/>
    <w:rsid w:val="001413BA"/>
    <w:rsid w:val="00141ED8"/>
    <w:rsid w:val="001420AE"/>
    <w:rsid w:val="0014257D"/>
    <w:rsid w:val="00142D5E"/>
    <w:rsid w:val="00143309"/>
    <w:rsid w:val="00143600"/>
    <w:rsid w:val="00143C23"/>
    <w:rsid w:val="00143C81"/>
    <w:rsid w:val="0014402D"/>
    <w:rsid w:val="001444B2"/>
    <w:rsid w:val="00144CF6"/>
    <w:rsid w:val="001450B5"/>
    <w:rsid w:val="0014518F"/>
    <w:rsid w:val="00145443"/>
    <w:rsid w:val="001454CA"/>
    <w:rsid w:val="001454E4"/>
    <w:rsid w:val="00145595"/>
    <w:rsid w:val="00145598"/>
    <w:rsid w:val="001458E1"/>
    <w:rsid w:val="00145FD6"/>
    <w:rsid w:val="00146126"/>
    <w:rsid w:val="0014644E"/>
    <w:rsid w:val="00146ADE"/>
    <w:rsid w:val="0014755E"/>
    <w:rsid w:val="001475A7"/>
    <w:rsid w:val="001477CF"/>
    <w:rsid w:val="00147823"/>
    <w:rsid w:val="00147839"/>
    <w:rsid w:val="001479A3"/>
    <w:rsid w:val="00147AC1"/>
    <w:rsid w:val="00147C1C"/>
    <w:rsid w:val="00147D05"/>
    <w:rsid w:val="001503D1"/>
    <w:rsid w:val="001505DE"/>
    <w:rsid w:val="00150715"/>
    <w:rsid w:val="001507C1"/>
    <w:rsid w:val="001508AF"/>
    <w:rsid w:val="00150A1B"/>
    <w:rsid w:val="00150C90"/>
    <w:rsid w:val="00150D92"/>
    <w:rsid w:val="00151684"/>
    <w:rsid w:val="001516A6"/>
    <w:rsid w:val="00151A9D"/>
    <w:rsid w:val="00151AA3"/>
    <w:rsid w:val="00151E5D"/>
    <w:rsid w:val="00151F07"/>
    <w:rsid w:val="00151F6B"/>
    <w:rsid w:val="00151F72"/>
    <w:rsid w:val="00152323"/>
    <w:rsid w:val="001524B3"/>
    <w:rsid w:val="00152C53"/>
    <w:rsid w:val="00153030"/>
    <w:rsid w:val="001531E7"/>
    <w:rsid w:val="0015339B"/>
    <w:rsid w:val="00153861"/>
    <w:rsid w:val="001538AE"/>
    <w:rsid w:val="0015427C"/>
    <w:rsid w:val="00154939"/>
    <w:rsid w:val="00154D24"/>
    <w:rsid w:val="00154E79"/>
    <w:rsid w:val="001557C2"/>
    <w:rsid w:val="00155E65"/>
    <w:rsid w:val="0015652B"/>
    <w:rsid w:val="001565BB"/>
    <w:rsid w:val="00156AFF"/>
    <w:rsid w:val="00156DF2"/>
    <w:rsid w:val="00157154"/>
    <w:rsid w:val="0015723F"/>
    <w:rsid w:val="001573FB"/>
    <w:rsid w:val="0015798E"/>
    <w:rsid w:val="00157BA6"/>
    <w:rsid w:val="00157FC0"/>
    <w:rsid w:val="00160117"/>
    <w:rsid w:val="0016019F"/>
    <w:rsid w:val="0016021A"/>
    <w:rsid w:val="00160340"/>
    <w:rsid w:val="0016044C"/>
    <w:rsid w:val="0016092A"/>
    <w:rsid w:val="00160A46"/>
    <w:rsid w:val="00160E54"/>
    <w:rsid w:val="001611EF"/>
    <w:rsid w:val="00161237"/>
    <w:rsid w:val="00161473"/>
    <w:rsid w:val="0016174B"/>
    <w:rsid w:val="00161BDC"/>
    <w:rsid w:val="00161CCB"/>
    <w:rsid w:val="001623EF"/>
    <w:rsid w:val="0016269C"/>
    <w:rsid w:val="00162968"/>
    <w:rsid w:val="0016320F"/>
    <w:rsid w:val="00163968"/>
    <w:rsid w:val="001645E3"/>
    <w:rsid w:val="00164684"/>
    <w:rsid w:val="00164913"/>
    <w:rsid w:val="00164B34"/>
    <w:rsid w:val="00164C67"/>
    <w:rsid w:val="001650DD"/>
    <w:rsid w:val="00165AD3"/>
    <w:rsid w:val="00165C6B"/>
    <w:rsid w:val="00166219"/>
    <w:rsid w:val="00166294"/>
    <w:rsid w:val="00166B50"/>
    <w:rsid w:val="00166F19"/>
    <w:rsid w:val="00166FEB"/>
    <w:rsid w:val="00167763"/>
    <w:rsid w:val="00170867"/>
    <w:rsid w:val="00170B4F"/>
    <w:rsid w:val="00171867"/>
    <w:rsid w:val="001718EB"/>
    <w:rsid w:val="00171CAA"/>
    <w:rsid w:val="00171F44"/>
    <w:rsid w:val="001720B7"/>
    <w:rsid w:val="001722A1"/>
    <w:rsid w:val="00172403"/>
    <w:rsid w:val="0017240B"/>
    <w:rsid w:val="001728B3"/>
    <w:rsid w:val="00172B04"/>
    <w:rsid w:val="00172B80"/>
    <w:rsid w:val="001735AF"/>
    <w:rsid w:val="00173B93"/>
    <w:rsid w:val="00173BDF"/>
    <w:rsid w:val="00173EA9"/>
    <w:rsid w:val="00173EC0"/>
    <w:rsid w:val="00174417"/>
    <w:rsid w:val="001744F7"/>
    <w:rsid w:val="001744FB"/>
    <w:rsid w:val="0017454A"/>
    <w:rsid w:val="00174746"/>
    <w:rsid w:val="00174AA6"/>
    <w:rsid w:val="00174BE8"/>
    <w:rsid w:val="00174EDA"/>
    <w:rsid w:val="00175827"/>
    <w:rsid w:val="00175ACA"/>
    <w:rsid w:val="00175BEB"/>
    <w:rsid w:val="00176566"/>
    <w:rsid w:val="001766C6"/>
    <w:rsid w:val="001769CC"/>
    <w:rsid w:val="00176AC4"/>
    <w:rsid w:val="00176C11"/>
    <w:rsid w:val="0017706B"/>
    <w:rsid w:val="001778FD"/>
    <w:rsid w:val="00177AB2"/>
    <w:rsid w:val="00177AE2"/>
    <w:rsid w:val="001800D1"/>
    <w:rsid w:val="001805AE"/>
    <w:rsid w:val="00180F67"/>
    <w:rsid w:val="00181120"/>
    <w:rsid w:val="00181194"/>
    <w:rsid w:val="001812DA"/>
    <w:rsid w:val="00181595"/>
    <w:rsid w:val="00181BA7"/>
    <w:rsid w:val="00181E1E"/>
    <w:rsid w:val="00181E22"/>
    <w:rsid w:val="00181E8B"/>
    <w:rsid w:val="00181F8B"/>
    <w:rsid w:val="00182256"/>
    <w:rsid w:val="001824B9"/>
    <w:rsid w:val="0018255A"/>
    <w:rsid w:val="001831C3"/>
    <w:rsid w:val="001842B1"/>
    <w:rsid w:val="00184812"/>
    <w:rsid w:val="00184816"/>
    <w:rsid w:val="00184D9F"/>
    <w:rsid w:val="00185168"/>
    <w:rsid w:val="001851B1"/>
    <w:rsid w:val="001853BE"/>
    <w:rsid w:val="00185513"/>
    <w:rsid w:val="001859E3"/>
    <w:rsid w:val="00185CDD"/>
    <w:rsid w:val="00185D8A"/>
    <w:rsid w:val="00185F6B"/>
    <w:rsid w:val="001861F5"/>
    <w:rsid w:val="00186248"/>
    <w:rsid w:val="001864C8"/>
    <w:rsid w:val="001868BD"/>
    <w:rsid w:val="00186C9A"/>
    <w:rsid w:val="001871A2"/>
    <w:rsid w:val="001876E2"/>
    <w:rsid w:val="00187956"/>
    <w:rsid w:val="00187AC5"/>
    <w:rsid w:val="00187B22"/>
    <w:rsid w:val="001904A2"/>
    <w:rsid w:val="001905D2"/>
    <w:rsid w:val="001908A7"/>
    <w:rsid w:val="00190DD3"/>
    <w:rsid w:val="001913EE"/>
    <w:rsid w:val="001915BB"/>
    <w:rsid w:val="0019198F"/>
    <w:rsid w:val="00191A9E"/>
    <w:rsid w:val="00192166"/>
    <w:rsid w:val="0019240B"/>
    <w:rsid w:val="00192BEC"/>
    <w:rsid w:val="001938F0"/>
    <w:rsid w:val="0019401C"/>
    <w:rsid w:val="001945F9"/>
    <w:rsid w:val="001946DD"/>
    <w:rsid w:val="00194822"/>
    <w:rsid w:val="00194DB0"/>
    <w:rsid w:val="00194E35"/>
    <w:rsid w:val="001958D0"/>
    <w:rsid w:val="0019610A"/>
    <w:rsid w:val="00196519"/>
    <w:rsid w:val="00196573"/>
    <w:rsid w:val="00196E65"/>
    <w:rsid w:val="00197258"/>
    <w:rsid w:val="001974AC"/>
    <w:rsid w:val="001976D7"/>
    <w:rsid w:val="00197DCF"/>
    <w:rsid w:val="001A0126"/>
    <w:rsid w:val="001A0346"/>
    <w:rsid w:val="001A076E"/>
    <w:rsid w:val="001A1036"/>
    <w:rsid w:val="001A124C"/>
    <w:rsid w:val="001A13AB"/>
    <w:rsid w:val="001A140E"/>
    <w:rsid w:val="001A16C5"/>
    <w:rsid w:val="001A1C29"/>
    <w:rsid w:val="001A1ED6"/>
    <w:rsid w:val="001A207F"/>
    <w:rsid w:val="001A2214"/>
    <w:rsid w:val="001A243C"/>
    <w:rsid w:val="001A25E8"/>
    <w:rsid w:val="001A26CE"/>
    <w:rsid w:val="001A2812"/>
    <w:rsid w:val="001A2969"/>
    <w:rsid w:val="001A304B"/>
    <w:rsid w:val="001A33F5"/>
    <w:rsid w:val="001A377E"/>
    <w:rsid w:val="001A3C9C"/>
    <w:rsid w:val="001A40F9"/>
    <w:rsid w:val="001A4332"/>
    <w:rsid w:val="001A47A5"/>
    <w:rsid w:val="001A48F2"/>
    <w:rsid w:val="001A4B92"/>
    <w:rsid w:val="001A4E5A"/>
    <w:rsid w:val="001A4ECB"/>
    <w:rsid w:val="001A5579"/>
    <w:rsid w:val="001A5780"/>
    <w:rsid w:val="001A5B6D"/>
    <w:rsid w:val="001A6278"/>
    <w:rsid w:val="001A6296"/>
    <w:rsid w:val="001A685B"/>
    <w:rsid w:val="001A69A1"/>
    <w:rsid w:val="001A6B1E"/>
    <w:rsid w:val="001A6EEC"/>
    <w:rsid w:val="001A7572"/>
    <w:rsid w:val="001A76EB"/>
    <w:rsid w:val="001A7753"/>
    <w:rsid w:val="001A7970"/>
    <w:rsid w:val="001A7AA8"/>
    <w:rsid w:val="001A7D77"/>
    <w:rsid w:val="001B0086"/>
    <w:rsid w:val="001B02E0"/>
    <w:rsid w:val="001B0D35"/>
    <w:rsid w:val="001B0E42"/>
    <w:rsid w:val="001B12C8"/>
    <w:rsid w:val="001B155B"/>
    <w:rsid w:val="001B18D6"/>
    <w:rsid w:val="001B1BBC"/>
    <w:rsid w:val="001B1CCF"/>
    <w:rsid w:val="001B1FA7"/>
    <w:rsid w:val="001B214B"/>
    <w:rsid w:val="001B24C5"/>
    <w:rsid w:val="001B263E"/>
    <w:rsid w:val="001B2816"/>
    <w:rsid w:val="001B2BBC"/>
    <w:rsid w:val="001B2F26"/>
    <w:rsid w:val="001B3509"/>
    <w:rsid w:val="001B351D"/>
    <w:rsid w:val="001B37A2"/>
    <w:rsid w:val="001B37C9"/>
    <w:rsid w:val="001B3867"/>
    <w:rsid w:val="001B3950"/>
    <w:rsid w:val="001B3A92"/>
    <w:rsid w:val="001B3B90"/>
    <w:rsid w:val="001B3C37"/>
    <w:rsid w:val="001B4177"/>
    <w:rsid w:val="001B4259"/>
    <w:rsid w:val="001B4374"/>
    <w:rsid w:val="001B4543"/>
    <w:rsid w:val="001B4553"/>
    <w:rsid w:val="001B45AA"/>
    <w:rsid w:val="001B4858"/>
    <w:rsid w:val="001B49CB"/>
    <w:rsid w:val="001B49E2"/>
    <w:rsid w:val="001B4ABE"/>
    <w:rsid w:val="001B4AF6"/>
    <w:rsid w:val="001B4C14"/>
    <w:rsid w:val="001B5085"/>
    <w:rsid w:val="001B549B"/>
    <w:rsid w:val="001B57A9"/>
    <w:rsid w:val="001B5860"/>
    <w:rsid w:val="001B5E0A"/>
    <w:rsid w:val="001B5FCD"/>
    <w:rsid w:val="001B62FC"/>
    <w:rsid w:val="001B652A"/>
    <w:rsid w:val="001B6560"/>
    <w:rsid w:val="001B67D8"/>
    <w:rsid w:val="001B6808"/>
    <w:rsid w:val="001B6809"/>
    <w:rsid w:val="001B6C67"/>
    <w:rsid w:val="001B6DFF"/>
    <w:rsid w:val="001B7049"/>
    <w:rsid w:val="001B7D85"/>
    <w:rsid w:val="001B7F80"/>
    <w:rsid w:val="001C0001"/>
    <w:rsid w:val="001C0028"/>
    <w:rsid w:val="001C03EA"/>
    <w:rsid w:val="001C0508"/>
    <w:rsid w:val="001C0AA0"/>
    <w:rsid w:val="001C0BB4"/>
    <w:rsid w:val="001C0CFD"/>
    <w:rsid w:val="001C0E66"/>
    <w:rsid w:val="001C0E8D"/>
    <w:rsid w:val="001C102B"/>
    <w:rsid w:val="001C1216"/>
    <w:rsid w:val="001C126F"/>
    <w:rsid w:val="001C134B"/>
    <w:rsid w:val="001C13C0"/>
    <w:rsid w:val="001C158C"/>
    <w:rsid w:val="001C16AD"/>
    <w:rsid w:val="001C1BD2"/>
    <w:rsid w:val="001C1EA0"/>
    <w:rsid w:val="001C2606"/>
    <w:rsid w:val="001C3039"/>
    <w:rsid w:val="001C3334"/>
    <w:rsid w:val="001C38BD"/>
    <w:rsid w:val="001C397D"/>
    <w:rsid w:val="001C3B5B"/>
    <w:rsid w:val="001C42C1"/>
    <w:rsid w:val="001C4C1D"/>
    <w:rsid w:val="001C4CC8"/>
    <w:rsid w:val="001C4DCA"/>
    <w:rsid w:val="001C52A6"/>
    <w:rsid w:val="001C52E0"/>
    <w:rsid w:val="001C53C4"/>
    <w:rsid w:val="001C55FA"/>
    <w:rsid w:val="001C561D"/>
    <w:rsid w:val="001C5A2C"/>
    <w:rsid w:val="001C5A9A"/>
    <w:rsid w:val="001C5AA4"/>
    <w:rsid w:val="001C5B1A"/>
    <w:rsid w:val="001C5C61"/>
    <w:rsid w:val="001C5CD9"/>
    <w:rsid w:val="001C5DDE"/>
    <w:rsid w:val="001C63DD"/>
    <w:rsid w:val="001C6417"/>
    <w:rsid w:val="001C6738"/>
    <w:rsid w:val="001C692F"/>
    <w:rsid w:val="001C6CD6"/>
    <w:rsid w:val="001C7083"/>
    <w:rsid w:val="001C714F"/>
    <w:rsid w:val="001C72CF"/>
    <w:rsid w:val="001C72DA"/>
    <w:rsid w:val="001D0560"/>
    <w:rsid w:val="001D0F08"/>
    <w:rsid w:val="001D1ACC"/>
    <w:rsid w:val="001D1DAE"/>
    <w:rsid w:val="001D1F41"/>
    <w:rsid w:val="001D2754"/>
    <w:rsid w:val="001D2A32"/>
    <w:rsid w:val="001D2B7F"/>
    <w:rsid w:val="001D2EA7"/>
    <w:rsid w:val="001D2FB9"/>
    <w:rsid w:val="001D3B35"/>
    <w:rsid w:val="001D3ECD"/>
    <w:rsid w:val="001D42D4"/>
    <w:rsid w:val="001D4B4F"/>
    <w:rsid w:val="001D553B"/>
    <w:rsid w:val="001D55BA"/>
    <w:rsid w:val="001D55EB"/>
    <w:rsid w:val="001D5D5E"/>
    <w:rsid w:val="001D6190"/>
    <w:rsid w:val="001D61F5"/>
    <w:rsid w:val="001D673D"/>
    <w:rsid w:val="001D6971"/>
    <w:rsid w:val="001D6E27"/>
    <w:rsid w:val="001D7418"/>
    <w:rsid w:val="001D7C39"/>
    <w:rsid w:val="001D7E0B"/>
    <w:rsid w:val="001D7F98"/>
    <w:rsid w:val="001E0B36"/>
    <w:rsid w:val="001E0D1B"/>
    <w:rsid w:val="001E0D4A"/>
    <w:rsid w:val="001E1744"/>
    <w:rsid w:val="001E189E"/>
    <w:rsid w:val="001E193D"/>
    <w:rsid w:val="001E213C"/>
    <w:rsid w:val="001E2743"/>
    <w:rsid w:val="001E29BC"/>
    <w:rsid w:val="001E2BE6"/>
    <w:rsid w:val="001E302E"/>
    <w:rsid w:val="001E32BE"/>
    <w:rsid w:val="001E3441"/>
    <w:rsid w:val="001E35D7"/>
    <w:rsid w:val="001E370F"/>
    <w:rsid w:val="001E3899"/>
    <w:rsid w:val="001E3B94"/>
    <w:rsid w:val="001E3D0C"/>
    <w:rsid w:val="001E3E62"/>
    <w:rsid w:val="001E3F90"/>
    <w:rsid w:val="001E407B"/>
    <w:rsid w:val="001E4201"/>
    <w:rsid w:val="001E4503"/>
    <w:rsid w:val="001E4C9C"/>
    <w:rsid w:val="001E504C"/>
    <w:rsid w:val="001E5295"/>
    <w:rsid w:val="001E5343"/>
    <w:rsid w:val="001E5648"/>
    <w:rsid w:val="001E582E"/>
    <w:rsid w:val="001E58A5"/>
    <w:rsid w:val="001E5DF7"/>
    <w:rsid w:val="001E6DBF"/>
    <w:rsid w:val="001E6E37"/>
    <w:rsid w:val="001E6F38"/>
    <w:rsid w:val="001E6F7E"/>
    <w:rsid w:val="001E7276"/>
    <w:rsid w:val="001E72C6"/>
    <w:rsid w:val="001E72E6"/>
    <w:rsid w:val="001E7486"/>
    <w:rsid w:val="001E767D"/>
    <w:rsid w:val="001E7740"/>
    <w:rsid w:val="001E7C0C"/>
    <w:rsid w:val="001F003A"/>
    <w:rsid w:val="001F0068"/>
    <w:rsid w:val="001F0280"/>
    <w:rsid w:val="001F07B5"/>
    <w:rsid w:val="001F0886"/>
    <w:rsid w:val="001F113D"/>
    <w:rsid w:val="001F1231"/>
    <w:rsid w:val="001F169E"/>
    <w:rsid w:val="001F177F"/>
    <w:rsid w:val="001F18AA"/>
    <w:rsid w:val="001F19BB"/>
    <w:rsid w:val="001F1BE8"/>
    <w:rsid w:val="001F1DA9"/>
    <w:rsid w:val="001F1FD9"/>
    <w:rsid w:val="001F20F7"/>
    <w:rsid w:val="001F22E2"/>
    <w:rsid w:val="001F234D"/>
    <w:rsid w:val="001F23EA"/>
    <w:rsid w:val="001F2443"/>
    <w:rsid w:val="001F24BD"/>
    <w:rsid w:val="001F2C61"/>
    <w:rsid w:val="001F2D55"/>
    <w:rsid w:val="001F2EE2"/>
    <w:rsid w:val="001F30F9"/>
    <w:rsid w:val="001F33AF"/>
    <w:rsid w:val="001F381F"/>
    <w:rsid w:val="001F3C08"/>
    <w:rsid w:val="001F3E5A"/>
    <w:rsid w:val="001F4001"/>
    <w:rsid w:val="001F422F"/>
    <w:rsid w:val="001F4B6E"/>
    <w:rsid w:val="001F4E3C"/>
    <w:rsid w:val="001F51E5"/>
    <w:rsid w:val="001F5990"/>
    <w:rsid w:val="001F5BA5"/>
    <w:rsid w:val="001F5D6E"/>
    <w:rsid w:val="001F5DCA"/>
    <w:rsid w:val="001F5ED4"/>
    <w:rsid w:val="001F5F74"/>
    <w:rsid w:val="001F6003"/>
    <w:rsid w:val="001F600D"/>
    <w:rsid w:val="001F631F"/>
    <w:rsid w:val="001F6508"/>
    <w:rsid w:val="001F6B98"/>
    <w:rsid w:val="001F6BD9"/>
    <w:rsid w:val="001F6D68"/>
    <w:rsid w:val="001F7076"/>
    <w:rsid w:val="001F753D"/>
    <w:rsid w:val="001F7723"/>
    <w:rsid w:val="001F7D00"/>
    <w:rsid w:val="001F7D34"/>
    <w:rsid w:val="001F7E2F"/>
    <w:rsid w:val="001F7E5B"/>
    <w:rsid w:val="001F7E71"/>
    <w:rsid w:val="002006A9"/>
    <w:rsid w:val="00200830"/>
    <w:rsid w:val="00201070"/>
    <w:rsid w:val="0020178B"/>
    <w:rsid w:val="00201830"/>
    <w:rsid w:val="00201C63"/>
    <w:rsid w:val="00201F67"/>
    <w:rsid w:val="002021CD"/>
    <w:rsid w:val="0020246D"/>
    <w:rsid w:val="00202E8B"/>
    <w:rsid w:val="00203841"/>
    <w:rsid w:val="002042A0"/>
    <w:rsid w:val="002042D0"/>
    <w:rsid w:val="002044D2"/>
    <w:rsid w:val="0020459E"/>
    <w:rsid w:val="002049A7"/>
    <w:rsid w:val="002049E8"/>
    <w:rsid w:val="00204C85"/>
    <w:rsid w:val="00205F39"/>
    <w:rsid w:val="0020601E"/>
    <w:rsid w:val="002063B0"/>
    <w:rsid w:val="0020662D"/>
    <w:rsid w:val="00206C2E"/>
    <w:rsid w:val="00206CAB"/>
    <w:rsid w:val="00206E57"/>
    <w:rsid w:val="00206EB8"/>
    <w:rsid w:val="00206F50"/>
    <w:rsid w:val="00207106"/>
    <w:rsid w:val="00207476"/>
    <w:rsid w:val="00207ACF"/>
    <w:rsid w:val="00210077"/>
    <w:rsid w:val="0021029A"/>
    <w:rsid w:val="002102A6"/>
    <w:rsid w:val="00210436"/>
    <w:rsid w:val="00210D11"/>
    <w:rsid w:val="00210FA9"/>
    <w:rsid w:val="002110A4"/>
    <w:rsid w:val="002110C5"/>
    <w:rsid w:val="0021116C"/>
    <w:rsid w:val="00211740"/>
    <w:rsid w:val="00211A1B"/>
    <w:rsid w:val="00212022"/>
    <w:rsid w:val="00212207"/>
    <w:rsid w:val="0021223F"/>
    <w:rsid w:val="00212AE3"/>
    <w:rsid w:val="00212EAB"/>
    <w:rsid w:val="00212EF7"/>
    <w:rsid w:val="00213487"/>
    <w:rsid w:val="00213A67"/>
    <w:rsid w:val="00213BD3"/>
    <w:rsid w:val="002140F5"/>
    <w:rsid w:val="0021472A"/>
    <w:rsid w:val="00214867"/>
    <w:rsid w:val="00214B3D"/>
    <w:rsid w:val="00215269"/>
    <w:rsid w:val="00215472"/>
    <w:rsid w:val="00215590"/>
    <w:rsid w:val="002157E1"/>
    <w:rsid w:val="002158B4"/>
    <w:rsid w:val="00216090"/>
    <w:rsid w:val="0021623E"/>
    <w:rsid w:val="00216294"/>
    <w:rsid w:val="0021657F"/>
    <w:rsid w:val="00216E02"/>
    <w:rsid w:val="00217191"/>
    <w:rsid w:val="002172F1"/>
    <w:rsid w:val="002173BD"/>
    <w:rsid w:val="002177EF"/>
    <w:rsid w:val="0021791F"/>
    <w:rsid w:val="002179F9"/>
    <w:rsid w:val="00217B44"/>
    <w:rsid w:val="00220638"/>
    <w:rsid w:val="0022069F"/>
    <w:rsid w:val="00220D08"/>
    <w:rsid w:val="00220E83"/>
    <w:rsid w:val="002210D0"/>
    <w:rsid w:val="002211B0"/>
    <w:rsid w:val="002213EE"/>
    <w:rsid w:val="0022156D"/>
    <w:rsid w:val="00221676"/>
    <w:rsid w:val="002219D5"/>
    <w:rsid w:val="00221D32"/>
    <w:rsid w:val="00222161"/>
    <w:rsid w:val="00222749"/>
    <w:rsid w:val="0022284C"/>
    <w:rsid w:val="00222930"/>
    <w:rsid w:val="00222985"/>
    <w:rsid w:val="00222A5A"/>
    <w:rsid w:val="00222B52"/>
    <w:rsid w:val="00222CC9"/>
    <w:rsid w:val="002230D0"/>
    <w:rsid w:val="00223220"/>
    <w:rsid w:val="0022334C"/>
    <w:rsid w:val="0022375C"/>
    <w:rsid w:val="00223F35"/>
    <w:rsid w:val="00223FCF"/>
    <w:rsid w:val="0022419B"/>
    <w:rsid w:val="0022436C"/>
    <w:rsid w:val="00224DB9"/>
    <w:rsid w:val="00225B83"/>
    <w:rsid w:val="00225DB6"/>
    <w:rsid w:val="00226193"/>
    <w:rsid w:val="0022647B"/>
    <w:rsid w:val="002264E2"/>
    <w:rsid w:val="002265A2"/>
    <w:rsid w:val="002267BF"/>
    <w:rsid w:val="002268E2"/>
    <w:rsid w:val="00227740"/>
    <w:rsid w:val="002278A6"/>
    <w:rsid w:val="00227D16"/>
    <w:rsid w:val="00230184"/>
    <w:rsid w:val="00230714"/>
    <w:rsid w:val="00230CD6"/>
    <w:rsid w:val="0023207D"/>
    <w:rsid w:val="00232597"/>
    <w:rsid w:val="00232678"/>
    <w:rsid w:val="0023270A"/>
    <w:rsid w:val="002329FB"/>
    <w:rsid w:val="00232C6C"/>
    <w:rsid w:val="00232D91"/>
    <w:rsid w:val="00232E9A"/>
    <w:rsid w:val="00232ED1"/>
    <w:rsid w:val="00233B21"/>
    <w:rsid w:val="00233B9F"/>
    <w:rsid w:val="00233F2E"/>
    <w:rsid w:val="0023442C"/>
    <w:rsid w:val="00234477"/>
    <w:rsid w:val="0023486D"/>
    <w:rsid w:val="00234C7E"/>
    <w:rsid w:val="00234D85"/>
    <w:rsid w:val="00234DFB"/>
    <w:rsid w:val="00234E45"/>
    <w:rsid w:val="002352D7"/>
    <w:rsid w:val="0023532B"/>
    <w:rsid w:val="002354A9"/>
    <w:rsid w:val="0023569B"/>
    <w:rsid w:val="002356E3"/>
    <w:rsid w:val="00235AF1"/>
    <w:rsid w:val="0023618A"/>
    <w:rsid w:val="002366C0"/>
    <w:rsid w:val="002367E4"/>
    <w:rsid w:val="0023693F"/>
    <w:rsid w:val="00236CB7"/>
    <w:rsid w:val="00236E8A"/>
    <w:rsid w:val="00236F3B"/>
    <w:rsid w:val="0023708F"/>
    <w:rsid w:val="00237240"/>
    <w:rsid w:val="00237448"/>
    <w:rsid w:val="002375F4"/>
    <w:rsid w:val="0023778F"/>
    <w:rsid w:val="00237D7E"/>
    <w:rsid w:val="00237E83"/>
    <w:rsid w:val="00237F60"/>
    <w:rsid w:val="00237F69"/>
    <w:rsid w:val="00240309"/>
    <w:rsid w:val="00240647"/>
    <w:rsid w:val="0024071B"/>
    <w:rsid w:val="00240A94"/>
    <w:rsid w:val="00241855"/>
    <w:rsid w:val="00241A02"/>
    <w:rsid w:val="00241A16"/>
    <w:rsid w:val="00241F39"/>
    <w:rsid w:val="0024257C"/>
    <w:rsid w:val="00242C8F"/>
    <w:rsid w:val="00242C9B"/>
    <w:rsid w:val="002432DF"/>
    <w:rsid w:val="00243485"/>
    <w:rsid w:val="0024361D"/>
    <w:rsid w:val="0024398C"/>
    <w:rsid w:val="002439B5"/>
    <w:rsid w:val="00244347"/>
    <w:rsid w:val="002447E8"/>
    <w:rsid w:val="002448DF"/>
    <w:rsid w:val="002448FD"/>
    <w:rsid w:val="00244965"/>
    <w:rsid w:val="002452AB"/>
    <w:rsid w:val="00245486"/>
    <w:rsid w:val="002455C9"/>
    <w:rsid w:val="0024589F"/>
    <w:rsid w:val="002465AB"/>
    <w:rsid w:val="00246879"/>
    <w:rsid w:val="00246947"/>
    <w:rsid w:val="00246EA7"/>
    <w:rsid w:val="0024703F"/>
    <w:rsid w:val="00247187"/>
    <w:rsid w:val="0024726E"/>
    <w:rsid w:val="00247568"/>
    <w:rsid w:val="00247750"/>
    <w:rsid w:val="00247839"/>
    <w:rsid w:val="00247AC3"/>
    <w:rsid w:val="0025059B"/>
    <w:rsid w:val="00250805"/>
    <w:rsid w:val="00250B31"/>
    <w:rsid w:val="00250BC1"/>
    <w:rsid w:val="00250C42"/>
    <w:rsid w:val="00250CDA"/>
    <w:rsid w:val="00250EF9"/>
    <w:rsid w:val="00251338"/>
    <w:rsid w:val="00251349"/>
    <w:rsid w:val="002513AF"/>
    <w:rsid w:val="00251D7C"/>
    <w:rsid w:val="00251DE6"/>
    <w:rsid w:val="002523CE"/>
    <w:rsid w:val="00252B80"/>
    <w:rsid w:val="00252C28"/>
    <w:rsid w:val="00252EF4"/>
    <w:rsid w:val="002530B3"/>
    <w:rsid w:val="0025325E"/>
    <w:rsid w:val="002539A4"/>
    <w:rsid w:val="00253A9E"/>
    <w:rsid w:val="00253B48"/>
    <w:rsid w:val="00253BE5"/>
    <w:rsid w:val="00253C57"/>
    <w:rsid w:val="002540FC"/>
    <w:rsid w:val="002540FF"/>
    <w:rsid w:val="00254499"/>
    <w:rsid w:val="00254556"/>
    <w:rsid w:val="0025459F"/>
    <w:rsid w:val="00254680"/>
    <w:rsid w:val="00254790"/>
    <w:rsid w:val="00254B30"/>
    <w:rsid w:val="00254F14"/>
    <w:rsid w:val="00254F7C"/>
    <w:rsid w:val="00255088"/>
    <w:rsid w:val="00255920"/>
    <w:rsid w:val="002559FD"/>
    <w:rsid w:val="00255D4A"/>
    <w:rsid w:val="00255FC0"/>
    <w:rsid w:val="00256219"/>
    <w:rsid w:val="00257094"/>
    <w:rsid w:val="00257233"/>
    <w:rsid w:val="0025774D"/>
    <w:rsid w:val="0025775C"/>
    <w:rsid w:val="002579D4"/>
    <w:rsid w:val="00257C28"/>
    <w:rsid w:val="00260581"/>
    <w:rsid w:val="002606F4"/>
    <w:rsid w:val="00260B4C"/>
    <w:rsid w:val="00260BCD"/>
    <w:rsid w:val="00260CC2"/>
    <w:rsid w:val="00260EBD"/>
    <w:rsid w:val="00261421"/>
    <w:rsid w:val="00261529"/>
    <w:rsid w:val="002615FA"/>
    <w:rsid w:val="00261C44"/>
    <w:rsid w:val="00261DB4"/>
    <w:rsid w:val="00261FCE"/>
    <w:rsid w:val="0026242A"/>
    <w:rsid w:val="00262CCC"/>
    <w:rsid w:val="0026332F"/>
    <w:rsid w:val="002633AA"/>
    <w:rsid w:val="00263519"/>
    <w:rsid w:val="0026376E"/>
    <w:rsid w:val="00263A84"/>
    <w:rsid w:val="002645BE"/>
    <w:rsid w:val="002648D5"/>
    <w:rsid w:val="00264B48"/>
    <w:rsid w:val="00265410"/>
    <w:rsid w:val="002658A8"/>
    <w:rsid w:val="002658C5"/>
    <w:rsid w:val="00265D4E"/>
    <w:rsid w:val="00265E56"/>
    <w:rsid w:val="00266089"/>
    <w:rsid w:val="00266432"/>
    <w:rsid w:val="0026660A"/>
    <w:rsid w:val="00266749"/>
    <w:rsid w:val="00266A26"/>
    <w:rsid w:val="00266D7F"/>
    <w:rsid w:val="00267356"/>
    <w:rsid w:val="002673E5"/>
    <w:rsid w:val="00267471"/>
    <w:rsid w:val="00267553"/>
    <w:rsid w:val="0026762D"/>
    <w:rsid w:val="0026777F"/>
    <w:rsid w:val="00267816"/>
    <w:rsid w:val="00267B3B"/>
    <w:rsid w:val="00267C6F"/>
    <w:rsid w:val="00267C9C"/>
    <w:rsid w:val="00267CF4"/>
    <w:rsid w:val="00267DB9"/>
    <w:rsid w:val="00270070"/>
    <w:rsid w:val="00270292"/>
    <w:rsid w:val="0027069D"/>
    <w:rsid w:val="00270792"/>
    <w:rsid w:val="002707BD"/>
    <w:rsid w:val="002708BA"/>
    <w:rsid w:val="002710B5"/>
    <w:rsid w:val="0027113D"/>
    <w:rsid w:val="00271276"/>
    <w:rsid w:val="00271425"/>
    <w:rsid w:val="002714BC"/>
    <w:rsid w:val="00271628"/>
    <w:rsid w:val="00271769"/>
    <w:rsid w:val="00271B2F"/>
    <w:rsid w:val="00271CEF"/>
    <w:rsid w:val="00271FB1"/>
    <w:rsid w:val="00272000"/>
    <w:rsid w:val="0027205B"/>
    <w:rsid w:val="00272293"/>
    <w:rsid w:val="00272310"/>
    <w:rsid w:val="00272467"/>
    <w:rsid w:val="00272BB9"/>
    <w:rsid w:val="00272D35"/>
    <w:rsid w:val="00272DB5"/>
    <w:rsid w:val="00272FEC"/>
    <w:rsid w:val="002735C6"/>
    <w:rsid w:val="00273D03"/>
    <w:rsid w:val="00273D53"/>
    <w:rsid w:val="00273F48"/>
    <w:rsid w:val="002741DC"/>
    <w:rsid w:val="002746A5"/>
    <w:rsid w:val="00274A49"/>
    <w:rsid w:val="00274CDE"/>
    <w:rsid w:val="00274CE6"/>
    <w:rsid w:val="00274F1B"/>
    <w:rsid w:val="00275638"/>
    <w:rsid w:val="0027587B"/>
    <w:rsid w:val="002761AE"/>
    <w:rsid w:val="002761BE"/>
    <w:rsid w:val="002762BB"/>
    <w:rsid w:val="002765D3"/>
    <w:rsid w:val="00276994"/>
    <w:rsid w:val="00276D92"/>
    <w:rsid w:val="00276FC9"/>
    <w:rsid w:val="00277540"/>
    <w:rsid w:val="00277A9D"/>
    <w:rsid w:val="00277C2A"/>
    <w:rsid w:val="00277EEA"/>
    <w:rsid w:val="002800F0"/>
    <w:rsid w:val="00280423"/>
    <w:rsid w:val="00280550"/>
    <w:rsid w:val="002805DA"/>
    <w:rsid w:val="00280667"/>
    <w:rsid w:val="00281283"/>
    <w:rsid w:val="002813BD"/>
    <w:rsid w:val="00281449"/>
    <w:rsid w:val="00281607"/>
    <w:rsid w:val="00281AF6"/>
    <w:rsid w:val="00281B49"/>
    <w:rsid w:val="00281C3E"/>
    <w:rsid w:val="00281E8A"/>
    <w:rsid w:val="00281EE7"/>
    <w:rsid w:val="00281F36"/>
    <w:rsid w:val="0028254D"/>
    <w:rsid w:val="0028258A"/>
    <w:rsid w:val="002829B9"/>
    <w:rsid w:val="00282D4E"/>
    <w:rsid w:val="002831BA"/>
    <w:rsid w:val="002835A7"/>
    <w:rsid w:val="002835D7"/>
    <w:rsid w:val="00283ADB"/>
    <w:rsid w:val="00283B22"/>
    <w:rsid w:val="00283C5D"/>
    <w:rsid w:val="00283E6D"/>
    <w:rsid w:val="00283F56"/>
    <w:rsid w:val="00284140"/>
    <w:rsid w:val="002847CA"/>
    <w:rsid w:val="00284A16"/>
    <w:rsid w:val="00284B01"/>
    <w:rsid w:val="00284B23"/>
    <w:rsid w:val="00284EC8"/>
    <w:rsid w:val="00284F1F"/>
    <w:rsid w:val="00285D79"/>
    <w:rsid w:val="0028667D"/>
    <w:rsid w:val="00286C09"/>
    <w:rsid w:val="00286CC5"/>
    <w:rsid w:val="00286FA3"/>
    <w:rsid w:val="0028798E"/>
    <w:rsid w:val="00287A65"/>
    <w:rsid w:val="00287DEB"/>
    <w:rsid w:val="00287F9F"/>
    <w:rsid w:val="00290169"/>
    <w:rsid w:val="002901E7"/>
    <w:rsid w:val="00290C19"/>
    <w:rsid w:val="002911A5"/>
    <w:rsid w:val="0029122A"/>
    <w:rsid w:val="002912F9"/>
    <w:rsid w:val="0029183F"/>
    <w:rsid w:val="00291941"/>
    <w:rsid w:val="00291AB4"/>
    <w:rsid w:val="00291C7C"/>
    <w:rsid w:val="00291D6B"/>
    <w:rsid w:val="00291F71"/>
    <w:rsid w:val="002927FE"/>
    <w:rsid w:val="0029286C"/>
    <w:rsid w:val="0029291F"/>
    <w:rsid w:val="002935FF"/>
    <w:rsid w:val="002938C7"/>
    <w:rsid w:val="00293910"/>
    <w:rsid w:val="00293C07"/>
    <w:rsid w:val="00293D7C"/>
    <w:rsid w:val="002945E3"/>
    <w:rsid w:val="002947B2"/>
    <w:rsid w:val="002949DC"/>
    <w:rsid w:val="00294A65"/>
    <w:rsid w:val="00294B6F"/>
    <w:rsid w:val="00295023"/>
    <w:rsid w:val="002950DB"/>
    <w:rsid w:val="002950FF"/>
    <w:rsid w:val="00295236"/>
    <w:rsid w:val="00295423"/>
    <w:rsid w:val="002957F9"/>
    <w:rsid w:val="00295CB0"/>
    <w:rsid w:val="00295F2E"/>
    <w:rsid w:val="00296041"/>
    <w:rsid w:val="00296A6E"/>
    <w:rsid w:val="00296CEE"/>
    <w:rsid w:val="00297360"/>
    <w:rsid w:val="002974DE"/>
    <w:rsid w:val="002975C5"/>
    <w:rsid w:val="00297651"/>
    <w:rsid w:val="002977CD"/>
    <w:rsid w:val="002979F9"/>
    <w:rsid w:val="00297AD6"/>
    <w:rsid w:val="00297E07"/>
    <w:rsid w:val="00297E4D"/>
    <w:rsid w:val="002A03E8"/>
    <w:rsid w:val="002A0784"/>
    <w:rsid w:val="002A09DC"/>
    <w:rsid w:val="002A0B62"/>
    <w:rsid w:val="002A0CAF"/>
    <w:rsid w:val="002A128F"/>
    <w:rsid w:val="002A12D9"/>
    <w:rsid w:val="002A13D4"/>
    <w:rsid w:val="002A155B"/>
    <w:rsid w:val="002A19A8"/>
    <w:rsid w:val="002A1FE9"/>
    <w:rsid w:val="002A29F6"/>
    <w:rsid w:val="002A2A5E"/>
    <w:rsid w:val="002A3144"/>
    <w:rsid w:val="002A316B"/>
    <w:rsid w:val="002A34A9"/>
    <w:rsid w:val="002A3873"/>
    <w:rsid w:val="002A394E"/>
    <w:rsid w:val="002A3A41"/>
    <w:rsid w:val="002A40D2"/>
    <w:rsid w:val="002A4B6D"/>
    <w:rsid w:val="002A4D9A"/>
    <w:rsid w:val="002A5023"/>
    <w:rsid w:val="002A5095"/>
    <w:rsid w:val="002A555E"/>
    <w:rsid w:val="002A590F"/>
    <w:rsid w:val="002A6464"/>
    <w:rsid w:val="002A6773"/>
    <w:rsid w:val="002A6C61"/>
    <w:rsid w:val="002A6E84"/>
    <w:rsid w:val="002A7B15"/>
    <w:rsid w:val="002A7CE1"/>
    <w:rsid w:val="002A7EEF"/>
    <w:rsid w:val="002B0092"/>
    <w:rsid w:val="002B0123"/>
    <w:rsid w:val="002B0182"/>
    <w:rsid w:val="002B0492"/>
    <w:rsid w:val="002B0AE6"/>
    <w:rsid w:val="002B0DD7"/>
    <w:rsid w:val="002B13CB"/>
    <w:rsid w:val="002B1F00"/>
    <w:rsid w:val="002B1FB2"/>
    <w:rsid w:val="002B241E"/>
    <w:rsid w:val="002B2ABB"/>
    <w:rsid w:val="002B2AFB"/>
    <w:rsid w:val="002B2CD7"/>
    <w:rsid w:val="002B2D5B"/>
    <w:rsid w:val="002B2F50"/>
    <w:rsid w:val="002B3532"/>
    <w:rsid w:val="002B3A12"/>
    <w:rsid w:val="002B3E1A"/>
    <w:rsid w:val="002B3F5D"/>
    <w:rsid w:val="002B4127"/>
    <w:rsid w:val="002B4637"/>
    <w:rsid w:val="002B4AA3"/>
    <w:rsid w:val="002B510D"/>
    <w:rsid w:val="002B55EE"/>
    <w:rsid w:val="002B5DDF"/>
    <w:rsid w:val="002B6BC7"/>
    <w:rsid w:val="002B6E81"/>
    <w:rsid w:val="002B7A3C"/>
    <w:rsid w:val="002B7E47"/>
    <w:rsid w:val="002B7F34"/>
    <w:rsid w:val="002C0202"/>
    <w:rsid w:val="002C0607"/>
    <w:rsid w:val="002C075A"/>
    <w:rsid w:val="002C0971"/>
    <w:rsid w:val="002C1125"/>
    <w:rsid w:val="002C17F8"/>
    <w:rsid w:val="002C1A69"/>
    <w:rsid w:val="002C1BAA"/>
    <w:rsid w:val="002C1D1C"/>
    <w:rsid w:val="002C1DB7"/>
    <w:rsid w:val="002C1E33"/>
    <w:rsid w:val="002C1F27"/>
    <w:rsid w:val="002C2103"/>
    <w:rsid w:val="002C220D"/>
    <w:rsid w:val="002C2566"/>
    <w:rsid w:val="002C2600"/>
    <w:rsid w:val="002C2840"/>
    <w:rsid w:val="002C28EB"/>
    <w:rsid w:val="002C290B"/>
    <w:rsid w:val="002C2AE3"/>
    <w:rsid w:val="002C2C9F"/>
    <w:rsid w:val="002C2D42"/>
    <w:rsid w:val="002C3511"/>
    <w:rsid w:val="002C369B"/>
    <w:rsid w:val="002C37A9"/>
    <w:rsid w:val="002C3803"/>
    <w:rsid w:val="002C3824"/>
    <w:rsid w:val="002C39B7"/>
    <w:rsid w:val="002C3C94"/>
    <w:rsid w:val="002C3EA9"/>
    <w:rsid w:val="002C41B1"/>
    <w:rsid w:val="002C467A"/>
    <w:rsid w:val="002C4F55"/>
    <w:rsid w:val="002C51D8"/>
    <w:rsid w:val="002C54AF"/>
    <w:rsid w:val="002C5650"/>
    <w:rsid w:val="002C5828"/>
    <w:rsid w:val="002C5A4E"/>
    <w:rsid w:val="002C5C03"/>
    <w:rsid w:val="002C5D81"/>
    <w:rsid w:val="002C5E2C"/>
    <w:rsid w:val="002C5F40"/>
    <w:rsid w:val="002C5F9F"/>
    <w:rsid w:val="002C640E"/>
    <w:rsid w:val="002C6568"/>
    <w:rsid w:val="002C6694"/>
    <w:rsid w:val="002C69B5"/>
    <w:rsid w:val="002C6B10"/>
    <w:rsid w:val="002C6B38"/>
    <w:rsid w:val="002C6D5C"/>
    <w:rsid w:val="002C6ECD"/>
    <w:rsid w:val="002C71F9"/>
    <w:rsid w:val="002C77B4"/>
    <w:rsid w:val="002C792D"/>
    <w:rsid w:val="002C7B42"/>
    <w:rsid w:val="002C7DBF"/>
    <w:rsid w:val="002C7F06"/>
    <w:rsid w:val="002D05A3"/>
    <w:rsid w:val="002D0640"/>
    <w:rsid w:val="002D07AF"/>
    <w:rsid w:val="002D0A8F"/>
    <w:rsid w:val="002D0B28"/>
    <w:rsid w:val="002D0CA8"/>
    <w:rsid w:val="002D0D29"/>
    <w:rsid w:val="002D1211"/>
    <w:rsid w:val="002D176B"/>
    <w:rsid w:val="002D1A64"/>
    <w:rsid w:val="002D1A77"/>
    <w:rsid w:val="002D20DD"/>
    <w:rsid w:val="002D220A"/>
    <w:rsid w:val="002D22ED"/>
    <w:rsid w:val="002D2902"/>
    <w:rsid w:val="002D2AA7"/>
    <w:rsid w:val="002D2D94"/>
    <w:rsid w:val="002D2EE4"/>
    <w:rsid w:val="002D30BF"/>
    <w:rsid w:val="002D3126"/>
    <w:rsid w:val="002D342A"/>
    <w:rsid w:val="002D4150"/>
    <w:rsid w:val="002D431E"/>
    <w:rsid w:val="002D4360"/>
    <w:rsid w:val="002D460C"/>
    <w:rsid w:val="002D4F14"/>
    <w:rsid w:val="002D50D1"/>
    <w:rsid w:val="002D5516"/>
    <w:rsid w:val="002D563A"/>
    <w:rsid w:val="002D5749"/>
    <w:rsid w:val="002D5A1B"/>
    <w:rsid w:val="002D5D74"/>
    <w:rsid w:val="002D5DA4"/>
    <w:rsid w:val="002D5DCE"/>
    <w:rsid w:val="002D5E61"/>
    <w:rsid w:val="002D63B4"/>
    <w:rsid w:val="002D6660"/>
    <w:rsid w:val="002D6CB5"/>
    <w:rsid w:val="002D6E8B"/>
    <w:rsid w:val="002D6FF3"/>
    <w:rsid w:val="002D72FF"/>
    <w:rsid w:val="002D76C6"/>
    <w:rsid w:val="002D76CA"/>
    <w:rsid w:val="002D7F87"/>
    <w:rsid w:val="002E0219"/>
    <w:rsid w:val="002E05E5"/>
    <w:rsid w:val="002E0E03"/>
    <w:rsid w:val="002E12E4"/>
    <w:rsid w:val="002E149F"/>
    <w:rsid w:val="002E1AD7"/>
    <w:rsid w:val="002E1C86"/>
    <w:rsid w:val="002E1D8C"/>
    <w:rsid w:val="002E2124"/>
    <w:rsid w:val="002E238D"/>
    <w:rsid w:val="002E23D6"/>
    <w:rsid w:val="002E25EB"/>
    <w:rsid w:val="002E3A00"/>
    <w:rsid w:val="002E3C5F"/>
    <w:rsid w:val="002E3CB0"/>
    <w:rsid w:val="002E431A"/>
    <w:rsid w:val="002E4481"/>
    <w:rsid w:val="002E4560"/>
    <w:rsid w:val="002E45A5"/>
    <w:rsid w:val="002E5B74"/>
    <w:rsid w:val="002E5FFA"/>
    <w:rsid w:val="002E61D0"/>
    <w:rsid w:val="002E69E4"/>
    <w:rsid w:val="002E6DA9"/>
    <w:rsid w:val="002E7177"/>
    <w:rsid w:val="002E7494"/>
    <w:rsid w:val="002E7746"/>
    <w:rsid w:val="002E77B9"/>
    <w:rsid w:val="002E7D3C"/>
    <w:rsid w:val="002E7EA6"/>
    <w:rsid w:val="002F05EA"/>
    <w:rsid w:val="002F069D"/>
    <w:rsid w:val="002F0883"/>
    <w:rsid w:val="002F0E9C"/>
    <w:rsid w:val="002F0EBA"/>
    <w:rsid w:val="002F0FE8"/>
    <w:rsid w:val="002F1158"/>
    <w:rsid w:val="002F11B4"/>
    <w:rsid w:val="002F144D"/>
    <w:rsid w:val="002F1817"/>
    <w:rsid w:val="002F1848"/>
    <w:rsid w:val="002F1861"/>
    <w:rsid w:val="002F1B90"/>
    <w:rsid w:val="002F1CCA"/>
    <w:rsid w:val="002F1F75"/>
    <w:rsid w:val="002F20C3"/>
    <w:rsid w:val="002F2256"/>
    <w:rsid w:val="002F225E"/>
    <w:rsid w:val="002F2660"/>
    <w:rsid w:val="002F2CD9"/>
    <w:rsid w:val="002F2F5F"/>
    <w:rsid w:val="002F3C7C"/>
    <w:rsid w:val="002F3D50"/>
    <w:rsid w:val="002F3E2D"/>
    <w:rsid w:val="002F434F"/>
    <w:rsid w:val="002F440D"/>
    <w:rsid w:val="002F452D"/>
    <w:rsid w:val="002F4C9A"/>
    <w:rsid w:val="002F4D64"/>
    <w:rsid w:val="002F4DFF"/>
    <w:rsid w:val="002F51A4"/>
    <w:rsid w:val="002F579B"/>
    <w:rsid w:val="002F5A1B"/>
    <w:rsid w:val="002F5AFA"/>
    <w:rsid w:val="002F5B3E"/>
    <w:rsid w:val="002F5C5A"/>
    <w:rsid w:val="002F5EE5"/>
    <w:rsid w:val="002F60D0"/>
    <w:rsid w:val="002F6246"/>
    <w:rsid w:val="002F6484"/>
    <w:rsid w:val="002F6D24"/>
    <w:rsid w:val="002F6DC6"/>
    <w:rsid w:val="002F71AB"/>
    <w:rsid w:val="002F720A"/>
    <w:rsid w:val="002F7730"/>
    <w:rsid w:val="00300061"/>
    <w:rsid w:val="0030045E"/>
    <w:rsid w:val="003006B6"/>
    <w:rsid w:val="00300785"/>
    <w:rsid w:val="00300829"/>
    <w:rsid w:val="00300995"/>
    <w:rsid w:val="00300A29"/>
    <w:rsid w:val="00300D94"/>
    <w:rsid w:val="00300EDE"/>
    <w:rsid w:val="00301919"/>
    <w:rsid w:val="00301D69"/>
    <w:rsid w:val="00302158"/>
    <w:rsid w:val="0030230B"/>
    <w:rsid w:val="00302349"/>
    <w:rsid w:val="003024E3"/>
    <w:rsid w:val="00302646"/>
    <w:rsid w:val="00302D8F"/>
    <w:rsid w:val="0030389D"/>
    <w:rsid w:val="00303CA2"/>
    <w:rsid w:val="00303DC3"/>
    <w:rsid w:val="00304CB6"/>
    <w:rsid w:val="00304D79"/>
    <w:rsid w:val="00304FE8"/>
    <w:rsid w:val="003052F3"/>
    <w:rsid w:val="003054BD"/>
    <w:rsid w:val="00305940"/>
    <w:rsid w:val="00305AC7"/>
    <w:rsid w:val="00305CCB"/>
    <w:rsid w:val="00306620"/>
    <w:rsid w:val="0030662F"/>
    <w:rsid w:val="003067A7"/>
    <w:rsid w:val="00307195"/>
    <w:rsid w:val="00307C8D"/>
    <w:rsid w:val="00310236"/>
    <w:rsid w:val="003104FF"/>
    <w:rsid w:val="0031057A"/>
    <w:rsid w:val="00310831"/>
    <w:rsid w:val="00310B07"/>
    <w:rsid w:val="00310B18"/>
    <w:rsid w:val="00310C5A"/>
    <w:rsid w:val="00310CDF"/>
    <w:rsid w:val="0031118D"/>
    <w:rsid w:val="0031125C"/>
    <w:rsid w:val="0031153B"/>
    <w:rsid w:val="00311723"/>
    <w:rsid w:val="00311CA9"/>
    <w:rsid w:val="00311E83"/>
    <w:rsid w:val="00311FB1"/>
    <w:rsid w:val="003121F4"/>
    <w:rsid w:val="00312576"/>
    <w:rsid w:val="0031309D"/>
    <w:rsid w:val="00313946"/>
    <w:rsid w:val="00313E82"/>
    <w:rsid w:val="00313F76"/>
    <w:rsid w:val="00314456"/>
    <w:rsid w:val="003147D3"/>
    <w:rsid w:val="00314A7D"/>
    <w:rsid w:val="00314CA8"/>
    <w:rsid w:val="00314D41"/>
    <w:rsid w:val="00314DD8"/>
    <w:rsid w:val="00314EA7"/>
    <w:rsid w:val="003150CB"/>
    <w:rsid w:val="003152C5"/>
    <w:rsid w:val="0031557E"/>
    <w:rsid w:val="00315895"/>
    <w:rsid w:val="00315926"/>
    <w:rsid w:val="00315EA6"/>
    <w:rsid w:val="00316075"/>
    <w:rsid w:val="003161AD"/>
    <w:rsid w:val="003163B8"/>
    <w:rsid w:val="003165EE"/>
    <w:rsid w:val="003166EE"/>
    <w:rsid w:val="00316B56"/>
    <w:rsid w:val="00316C8D"/>
    <w:rsid w:val="0031700E"/>
    <w:rsid w:val="00317280"/>
    <w:rsid w:val="0031731A"/>
    <w:rsid w:val="0031782A"/>
    <w:rsid w:val="003178A4"/>
    <w:rsid w:val="00317B7B"/>
    <w:rsid w:val="00317CEF"/>
    <w:rsid w:val="00317FB2"/>
    <w:rsid w:val="00320041"/>
    <w:rsid w:val="00320659"/>
    <w:rsid w:val="003209B3"/>
    <w:rsid w:val="00320BF4"/>
    <w:rsid w:val="00320EE8"/>
    <w:rsid w:val="0032112E"/>
    <w:rsid w:val="00321ACD"/>
    <w:rsid w:val="00321C65"/>
    <w:rsid w:val="00321DF8"/>
    <w:rsid w:val="00321F40"/>
    <w:rsid w:val="0032214B"/>
    <w:rsid w:val="003225BC"/>
    <w:rsid w:val="0032264C"/>
    <w:rsid w:val="003226B0"/>
    <w:rsid w:val="00322EE8"/>
    <w:rsid w:val="00323079"/>
    <w:rsid w:val="00323153"/>
    <w:rsid w:val="003232C6"/>
    <w:rsid w:val="0032333C"/>
    <w:rsid w:val="003236E1"/>
    <w:rsid w:val="00323933"/>
    <w:rsid w:val="003239FC"/>
    <w:rsid w:val="00323CFC"/>
    <w:rsid w:val="003242C0"/>
    <w:rsid w:val="003246B7"/>
    <w:rsid w:val="00324AB3"/>
    <w:rsid w:val="00324B65"/>
    <w:rsid w:val="00324E50"/>
    <w:rsid w:val="00325425"/>
    <w:rsid w:val="00325938"/>
    <w:rsid w:val="003259F6"/>
    <w:rsid w:val="00325A16"/>
    <w:rsid w:val="00325AB4"/>
    <w:rsid w:val="00326164"/>
    <w:rsid w:val="003262EB"/>
    <w:rsid w:val="00326B9D"/>
    <w:rsid w:val="0032705C"/>
    <w:rsid w:val="00327FCB"/>
    <w:rsid w:val="003300A4"/>
    <w:rsid w:val="003306AF"/>
    <w:rsid w:val="0033073C"/>
    <w:rsid w:val="003309E9"/>
    <w:rsid w:val="00330AC4"/>
    <w:rsid w:val="00331283"/>
    <w:rsid w:val="003314B8"/>
    <w:rsid w:val="003315BD"/>
    <w:rsid w:val="0033174C"/>
    <w:rsid w:val="0033189F"/>
    <w:rsid w:val="003319DE"/>
    <w:rsid w:val="00331D19"/>
    <w:rsid w:val="00331E1A"/>
    <w:rsid w:val="00332773"/>
    <w:rsid w:val="003332BD"/>
    <w:rsid w:val="00333390"/>
    <w:rsid w:val="0033343D"/>
    <w:rsid w:val="003335DE"/>
    <w:rsid w:val="00333B53"/>
    <w:rsid w:val="00333CF8"/>
    <w:rsid w:val="00333E82"/>
    <w:rsid w:val="00334048"/>
    <w:rsid w:val="0033424C"/>
    <w:rsid w:val="0033493A"/>
    <w:rsid w:val="00334A7B"/>
    <w:rsid w:val="00334AF0"/>
    <w:rsid w:val="00334B33"/>
    <w:rsid w:val="00334D29"/>
    <w:rsid w:val="00335037"/>
    <w:rsid w:val="003358AF"/>
    <w:rsid w:val="003359AD"/>
    <w:rsid w:val="00335A7F"/>
    <w:rsid w:val="00335E04"/>
    <w:rsid w:val="003362E3"/>
    <w:rsid w:val="003368FD"/>
    <w:rsid w:val="00336A7B"/>
    <w:rsid w:val="00337DFB"/>
    <w:rsid w:val="00340296"/>
    <w:rsid w:val="0034067B"/>
    <w:rsid w:val="00340993"/>
    <w:rsid w:val="00340AB0"/>
    <w:rsid w:val="00341E5E"/>
    <w:rsid w:val="00342601"/>
    <w:rsid w:val="0034263C"/>
    <w:rsid w:val="00342684"/>
    <w:rsid w:val="00342881"/>
    <w:rsid w:val="0034309F"/>
    <w:rsid w:val="00343152"/>
    <w:rsid w:val="003431EE"/>
    <w:rsid w:val="003433F8"/>
    <w:rsid w:val="0034344D"/>
    <w:rsid w:val="0034393E"/>
    <w:rsid w:val="00343ACC"/>
    <w:rsid w:val="00343C10"/>
    <w:rsid w:val="00343CDB"/>
    <w:rsid w:val="003443CD"/>
    <w:rsid w:val="0034487A"/>
    <w:rsid w:val="00345162"/>
    <w:rsid w:val="003456DB"/>
    <w:rsid w:val="00345A15"/>
    <w:rsid w:val="00345E97"/>
    <w:rsid w:val="003460D0"/>
    <w:rsid w:val="00346285"/>
    <w:rsid w:val="00346287"/>
    <w:rsid w:val="003467E9"/>
    <w:rsid w:val="00346E38"/>
    <w:rsid w:val="00346F35"/>
    <w:rsid w:val="00347067"/>
    <w:rsid w:val="0034778E"/>
    <w:rsid w:val="00347AD4"/>
    <w:rsid w:val="003503D9"/>
    <w:rsid w:val="00350412"/>
    <w:rsid w:val="0035042C"/>
    <w:rsid w:val="003504DF"/>
    <w:rsid w:val="003505C1"/>
    <w:rsid w:val="00350AEC"/>
    <w:rsid w:val="00350FA8"/>
    <w:rsid w:val="00351245"/>
    <w:rsid w:val="00351525"/>
    <w:rsid w:val="0035163C"/>
    <w:rsid w:val="00351812"/>
    <w:rsid w:val="00351965"/>
    <w:rsid w:val="00351BFD"/>
    <w:rsid w:val="00351CBD"/>
    <w:rsid w:val="00351D73"/>
    <w:rsid w:val="00351F37"/>
    <w:rsid w:val="003520AC"/>
    <w:rsid w:val="00352131"/>
    <w:rsid w:val="0035234B"/>
    <w:rsid w:val="003528CB"/>
    <w:rsid w:val="003528E7"/>
    <w:rsid w:val="00352B33"/>
    <w:rsid w:val="00352D22"/>
    <w:rsid w:val="00352E37"/>
    <w:rsid w:val="00353280"/>
    <w:rsid w:val="00353A87"/>
    <w:rsid w:val="00353F85"/>
    <w:rsid w:val="0035425F"/>
    <w:rsid w:val="003548E3"/>
    <w:rsid w:val="0035491F"/>
    <w:rsid w:val="00354D6E"/>
    <w:rsid w:val="0035501D"/>
    <w:rsid w:val="003553F6"/>
    <w:rsid w:val="003555C8"/>
    <w:rsid w:val="00355667"/>
    <w:rsid w:val="00355683"/>
    <w:rsid w:val="00355895"/>
    <w:rsid w:val="00355921"/>
    <w:rsid w:val="00355DE0"/>
    <w:rsid w:val="00355FE1"/>
    <w:rsid w:val="00356262"/>
    <w:rsid w:val="003578BD"/>
    <w:rsid w:val="00357CA1"/>
    <w:rsid w:val="00357E21"/>
    <w:rsid w:val="003600F1"/>
    <w:rsid w:val="00360130"/>
    <w:rsid w:val="00360445"/>
    <w:rsid w:val="00360577"/>
    <w:rsid w:val="00360E7B"/>
    <w:rsid w:val="00360F38"/>
    <w:rsid w:val="0036158B"/>
    <w:rsid w:val="00361A57"/>
    <w:rsid w:val="00361AD1"/>
    <w:rsid w:val="00361B5A"/>
    <w:rsid w:val="00362288"/>
    <w:rsid w:val="00362A5A"/>
    <w:rsid w:val="00362CF6"/>
    <w:rsid w:val="00363035"/>
    <w:rsid w:val="00363748"/>
    <w:rsid w:val="003637FE"/>
    <w:rsid w:val="00364708"/>
    <w:rsid w:val="00364795"/>
    <w:rsid w:val="003651F4"/>
    <w:rsid w:val="00365320"/>
    <w:rsid w:val="003656F2"/>
    <w:rsid w:val="003658F1"/>
    <w:rsid w:val="0036598B"/>
    <w:rsid w:val="00365B67"/>
    <w:rsid w:val="00365C9B"/>
    <w:rsid w:val="00365D1A"/>
    <w:rsid w:val="00365E44"/>
    <w:rsid w:val="003660AD"/>
    <w:rsid w:val="00366725"/>
    <w:rsid w:val="00366BD1"/>
    <w:rsid w:val="00367898"/>
    <w:rsid w:val="00367DE9"/>
    <w:rsid w:val="00367F65"/>
    <w:rsid w:val="00370780"/>
    <w:rsid w:val="003708D8"/>
    <w:rsid w:val="00370904"/>
    <w:rsid w:val="00370C2B"/>
    <w:rsid w:val="00371092"/>
    <w:rsid w:val="003711B9"/>
    <w:rsid w:val="00371291"/>
    <w:rsid w:val="0037132A"/>
    <w:rsid w:val="003714FA"/>
    <w:rsid w:val="00371759"/>
    <w:rsid w:val="00371793"/>
    <w:rsid w:val="00371C48"/>
    <w:rsid w:val="00371D21"/>
    <w:rsid w:val="00371E13"/>
    <w:rsid w:val="0037211D"/>
    <w:rsid w:val="00372345"/>
    <w:rsid w:val="003723F3"/>
    <w:rsid w:val="003723FE"/>
    <w:rsid w:val="003724C1"/>
    <w:rsid w:val="00372C9F"/>
    <w:rsid w:val="00372D0D"/>
    <w:rsid w:val="00372E25"/>
    <w:rsid w:val="00373392"/>
    <w:rsid w:val="003735CB"/>
    <w:rsid w:val="003735DA"/>
    <w:rsid w:val="003736D6"/>
    <w:rsid w:val="00373912"/>
    <w:rsid w:val="003739BA"/>
    <w:rsid w:val="00373D88"/>
    <w:rsid w:val="00373FCE"/>
    <w:rsid w:val="00374088"/>
    <w:rsid w:val="003743E1"/>
    <w:rsid w:val="003747F0"/>
    <w:rsid w:val="00374C17"/>
    <w:rsid w:val="00374E67"/>
    <w:rsid w:val="00375097"/>
    <w:rsid w:val="0037522E"/>
    <w:rsid w:val="00375571"/>
    <w:rsid w:val="00375992"/>
    <w:rsid w:val="00375B3C"/>
    <w:rsid w:val="00375DA4"/>
    <w:rsid w:val="00375F5F"/>
    <w:rsid w:val="00376196"/>
    <w:rsid w:val="003761B0"/>
    <w:rsid w:val="003762B3"/>
    <w:rsid w:val="00376A90"/>
    <w:rsid w:val="00376D8B"/>
    <w:rsid w:val="003771B4"/>
    <w:rsid w:val="0037739D"/>
    <w:rsid w:val="003773F6"/>
    <w:rsid w:val="003775A7"/>
    <w:rsid w:val="0037768A"/>
    <w:rsid w:val="003776CB"/>
    <w:rsid w:val="0037798B"/>
    <w:rsid w:val="00377BFE"/>
    <w:rsid w:val="00377C63"/>
    <w:rsid w:val="00377CC5"/>
    <w:rsid w:val="00380674"/>
    <w:rsid w:val="00380B2E"/>
    <w:rsid w:val="00380DCE"/>
    <w:rsid w:val="00380F84"/>
    <w:rsid w:val="00380FAC"/>
    <w:rsid w:val="003810A3"/>
    <w:rsid w:val="00381533"/>
    <w:rsid w:val="00381548"/>
    <w:rsid w:val="003816AB"/>
    <w:rsid w:val="003819D6"/>
    <w:rsid w:val="00381C1C"/>
    <w:rsid w:val="00381F80"/>
    <w:rsid w:val="003821CA"/>
    <w:rsid w:val="003824DC"/>
    <w:rsid w:val="00382624"/>
    <w:rsid w:val="0038268F"/>
    <w:rsid w:val="00382917"/>
    <w:rsid w:val="003829FE"/>
    <w:rsid w:val="00382BD7"/>
    <w:rsid w:val="003832AE"/>
    <w:rsid w:val="00383742"/>
    <w:rsid w:val="003837ED"/>
    <w:rsid w:val="00383A2A"/>
    <w:rsid w:val="00383A4F"/>
    <w:rsid w:val="00383A5F"/>
    <w:rsid w:val="00383B25"/>
    <w:rsid w:val="00383C9F"/>
    <w:rsid w:val="00383F6E"/>
    <w:rsid w:val="00384056"/>
    <w:rsid w:val="0038450A"/>
    <w:rsid w:val="0038479F"/>
    <w:rsid w:val="003848FE"/>
    <w:rsid w:val="00384A63"/>
    <w:rsid w:val="00384BED"/>
    <w:rsid w:val="00384C22"/>
    <w:rsid w:val="00384CC6"/>
    <w:rsid w:val="003858F7"/>
    <w:rsid w:val="00385A29"/>
    <w:rsid w:val="00385BCA"/>
    <w:rsid w:val="00386278"/>
    <w:rsid w:val="0038668F"/>
    <w:rsid w:val="00386936"/>
    <w:rsid w:val="00386A66"/>
    <w:rsid w:val="00387623"/>
    <w:rsid w:val="0038796E"/>
    <w:rsid w:val="00387A29"/>
    <w:rsid w:val="0039026C"/>
    <w:rsid w:val="00390517"/>
    <w:rsid w:val="00390A01"/>
    <w:rsid w:val="00390ACF"/>
    <w:rsid w:val="00390D2A"/>
    <w:rsid w:val="00391450"/>
    <w:rsid w:val="003915FE"/>
    <w:rsid w:val="00391DC9"/>
    <w:rsid w:val="00391F39"/>
    <w:rsid w:val="003921ED"/>
    <w:rsid w:val="0039274C"/>
    <w:rsid w:val="00392796"/>
    <w:rsid w:val="003927DC"/>
    <w:rsid w:val="00392CFE"/>
    <w:rsid w:val="00392DB3"/>
    <w:rsid w:val="003931C1"/>
    <w:rsid w:val="00393704"/>
    <w:rsid w:val="003940B5"/>
    <w:rsid w:val="003940D0"/>
    <w:rsid w:val="0039432D"/>
    <w:rsid w:val="003945FF"/>
    <w:rsid w:val="00394974"/>
    <w:rsid w:val="00394C3A"/>
    <w:rsid w:val="00394CBF"/>
    <w:rsid w:val="00394D35"/>
    <w:rsid w:val="00394DAB"/>
    <w:rsid w:val="00394F33"/>
    <w:rsid w:val="003951EF"/>
    <w:rsid w:val="003953D2"/>
    <w:rsid w:val="0039541C"/>
    <w:rsid w:val="00395948"/>
    <w:rsid w:val="00395A3A"/>
    <w:rsid w:val="00395D53"/>
    <w:rsid w:val="003960C8"/>
    <w:rsid w:val="0039629E"/>
    <w:rsid w:val="003962D9"/>
    <w:rsid w:val="00397166"/>
    <w:rsid w:val="0039786D"/>
    <w:rsid w:val="00397E23"/>
    <w:rsid w:val="00397E42"/>
    <w:rsid w:val="00397FAD"/>
    <w:rsid w:val="003A0145"/>
    <w:rsid w:val="003A0739"/>
    <w:rsid w:val="003A0C5A"/>
    <w:rsid w:val="003A0CAD"/>
    <w:rsid w:val="003A0EC2"/>
    <w:rsid w:val="003A14E4"/>
    <w:rsid w:val="003A158F"/>
    <w:rsid w:val="003A2099"/>
    <w:rsid w:val="003A2210"/>
    <w:rsid w:val="003A278E"/>
    <w:rsid w:val="003A29EE"/>
    <w:rsid w:val="003A2B27"/>
    <w:rsid w:val="003A2EE7"/>
    <w:rsid w:val="003A32AA"/>
    <w:rsid w:val="003A33BC"/>
    <w:rsid w:val="003A33C2"/>
    <w:rsid w:val="003A34A1"/>
    <w:rsid w:val="003A35F6"/>
    <w:rsid w:val="003A36C4"/>
    <w:rsid w:val="003A39F1"/>
    <w:rsid w:val="003A3CD9"/>
    <w:rsid w:val="003A4036"/>
    <w:rsid w:val="003A440C"/>
    <w:rsid w:val="003A44EC"/>
    <w:rsid w:val="003A46D5"/>
    <w:rsid w:val="003A47F6"/>
    <w:rsid w:val="003A4823"/>
    <w:rsid w:val="003A5284"/>
    <w:rsid w:val="003A5716"/>
    <w:rsid w:val="003A5EEC"/>
    <w:rsid w:val="003A5F9F"/>
    <w:rsid w:val="003A6811"/>
    <w:rsid w:val="003A6A82"/>
    <w:rsid w:val="003A6E91"/>
    <w:rsid w:val="003A6E92"/>
    <w:rsid w:val="003A7375"/>
    <w:rsid w:val="003A7594"/>
    <w:rsid w:val="003A7607"/>
    <w:rsid w:val="003A76B9"/>
    <w:rsid w:val="003A7732"/>
    <w:rsid w:val="003A7959"/>
    <w:rsid w:val="003A79B2"/>
    <w:rsid w:val="003A7F50"/>
    <w:rsid w:val="003B0086"/>
    <w:rsid w:val="003B10B1"/>
    <w:rsid w:val="003B10E7"/>
    <w:rsid w:val="003B10F3"/>
    <w:rsid w:val="003B12E9"/>
    <w:rsid w:val="003B1426"/>
    <w:rsid w:val="003B1980"/>
    <w:rsid w:val="003B1A95"/>
    <w:rsid w:val="003B1AC4"/>
    <w:rsid w:val="003B214D"/>
    <w:rsid w:val="003B25E7"/>
    <w:rsid w:val="003B2692"/>
    <w:rsid w:val="003B3461"/>
    <w:rsid w:val="003B38A1"/>
    <w:rsid w:val="003B3CD8"/>
    <w:rsid w:val="003B3DBB"/>
    <w:rsid w:val="003B41D4"/>
    <w:rsid w:val="003B429C"/>
    <w:rsid w:val="003B435D"/>
    <w:rsid w:val="003B46CC"/>
    <w:rsid w:val="003B483D"/>
    <w:rsid w:val="003B5105"/>
    <w:rsid w:val="003B51B0"/>
    <w:rsid w:val="003B51D0"/>
    <w:rsid w:val="003B5649"/>
    <w:rsid w:val="003B5870"/>
    <w:rsid w:val="003B58AD"/>
    <w:rsid w:val="003B5A05"/>
    <w:rsid w:val="003B603E"/>
    <w:rsid w:val="003B609A"/>
    <w:rsid w:val="003B6149"/>
    <w:rsid w:val="003B68F4"/>
    <w:rsid w:val="003B6AD0"/>
    <w:rsid w:val="003B6EFD"/>
    <w:rsid w:val="003B71F8"/>
    <w:rsid w:val="003B73FD"/>
    <w:rsid w:val="003B7607"/>
    <w:rsid w:val="003B7977"/>
    <w:rsid w:val="003B7A84"/>
    <w:rsid w:val="003B7D08"/>
    <w:rsid w:val="003C032B"/>
    <w:rsid w:val="003C040E"/>
    <w:rsid w:val="003C0429"/>
    <w:rsid w:val="003C0C61"/>
    <w:rsid w:val="003C0D1F"/>
    <w:rsid w:val="003C0D64"/>
    <w:rsid w:val="003C1078"/>
    <w:rsid w:val="003C147B"/>
    <w:rsid w:val="003C18C3"/>
    <w:rsid w:val="003C19EB"/>
    <w:rsid w:val="003C1F97"/>
    <w:rsid w:val="003C2020"/>
    <w:rsid w:val="003C2150"/>
    <w:rsid w:val="003C239D"/>
    <w:rsid w:val="003C2C3B"/>
    <w:rsid w:val="003C3009"/>
    <w:rsid w:val="003C3298"/>
    <w:rsid w:val="003C37D9"/>
    <w:rsid w:val="003C37DF"/>
    <w:rsid w:val="003C3B75"/>
    <w:rsid w:val="003C3C99"/>
    <w:rsid w:val="003C3CA3"/>
    <w:rsid w:val="003C3DA4"/>
    <w:rsid w:val="003C3DB2"/>
    <w:rsid w:val="003C3E24"/>
    <w:rsid w:val="003C3F01"/>
    <w:rsid w:val="003C4088"/>
    <w:rsid w:val="003C423F"/>
    <w:rsid w:val="003C4949"/>
    <w:rsid w:val="003C4970"/>
    <w:rsid w:val="003C4C69"/>
    <w:rsid w:val="003C4FD6"/>
    <w:rsid w:val="003C514B"/>
    <w:rsid w:val="003C5173"/>
    <w:rsid w:val="003C56EC"/>
    <w:rsid w:val="003C56F1"/>
    <w:rsid w:val="003C57C0"/>
    <w:rsid w:val="003C57C6"/>
    <w:rsid w:val="003C5CDF"/>
    <w:rsid w:val="003C5FD1"/>
    <w:rsid w:val="003C61EB"/>
    <w:rsid w:val="003C6891"/>
    <w:rsid w:val="003C6E86"/>
    <w:rsid w:val="003C73AB"/>
    <w:rsid w:val="003C76E8"/>
    <w:rsid w:val="003C7977"/>
    <w:rsid w:val="003C7D81"/>
    <w:rsid w:val="003D0A93"/>
    <w:rsid w:val="003D1782"/>
    <w:rsid w:val="003D1D87"/>
    <w:rsid w:val="003D2145"/>
    <w:rsid w:val="003D2252"/>
    <w:rsid w:val="003D2536"/>
    <w:rsid w:val="003D256B"/>
    <w:rsid w:val="003D2C0F"/>
    <w:rsid w:val="003D2D20"/>
    <w:rsid w:val="003D2D3A"/>
    <w:rsid w:val="003D2EB5"/>
    <w:rsid w:val="003D3ACB"/>
    <w:rsid w:val="003D3AD0"/>
    <w:rsid w:val="003D3E80"/>
    <w:rsid w:val="003D400C"/>
    <w:rsid w:val="003D43F3"/>
    <w:rsid w:val="003D4569"/>
    <w:rsid w:val="003D45A8"/>
    <w:rsid w:val="003D497C"/>
    <w:rsid w:val="003D4A45"/>
    <w:rsid w:val="003D4B80"/>
    <w:rsid w:val="003D4F32"/>
    <w:rsid w:val="003D58B2"/>
    <w:rsid w:val="003D6039"/>
    <w:rsid w:val="003D6588"/>
    <w:rsid w:val="003D6967"/>
    <w:rsid w:val="003D6A0B"/>
    <w:rsid w:val="003D6AD7"/>
    <w:rsid w:val="003D6F29"/>
    <w:rsid w:val="003D7339"/>
    <w:rsid w:val="003D74CB"/>
    <w:rsid w:val="003D7512"/>
    <w:rsid w:val="003D792C"/>
    <w:rsid w:val="003D7E14"/>
    <w:rsid w:val="003D7E23"/>
    <w:rsid w:val="003D7F05"/>
    <w:rsid w:val="003E062C"/>
    <w:rsid w:val="003E09AF"/>
    <w:rsid w:val="003E0ABA"/>
    <w:rsid w:val="003E10FF"/>
    <w:rsid w:val="003E12CF"/>
    <w:rsid w:val="003E13C1"/>
    <w:rsid w:val="003E1642"/>
    <w:rsid w:val="003E1730"/>
    <w:rsid w:val="003E174E"/>
    <w:rsid w:val="003E17F5"/>
    <w:rsid w:val="003E2558"/>
    <w:rsid w:val="003E260D"/>
    <w:rsid w:val="003E2CD6"/>
    <w:rsid w:val="003E3270"/>
    <w:rsid w:val="003E37B9"/>
    <w:rsid w:val="003E3ABE"/>
    <w:rsid w:val="003E3E2B"/>
    <w:rsid w:val="003E3F45"/>
    <w:rsid w:val="003E40B3"/>
    <w:rsid w:val="003E40F1"/>
    <w:rsid w:val="003E4103"/>
    <w:rsid w:val="003E4169"/>
    <w:rsid w:val="003E43E8"/>
    <w:rsid w:val="003E47D4"/>
    <w:rsid w:val="003E4860"/>
    <w:rsid w:val="003E4E02"/>
    <w:rsid w:val="003E4E36"/>
    <w:rsid w:val="003E51ED"/>
    <w:rsid w:val="003E57BE"/>
    <w:rsid w:val="003E5E40"/>
    <w:rsid w:val="003E5EE2"/>
    <w:rsid w:val="003E623A"/>
    <w:rsid w:val="003E64F7"/>
    <w:rsid w:val="003E6768"/>
    <w:rsid w:val="003E6870"/>
    <w:rsid w:val="003E6B48"/>
    <w:rsid w:val="003E74B8"/>
    <w:rsid w:val="003E7511"/>
    <w:rsid w:val="003E7570"/>
    <w:rsid w:val="003E75AE"/>
    <w:rsid w:val="003E75D6"/>
    <w:rsid w:val="003E77FE"/>
    <w:rsid w:val="003E7B68"/>
    <w:rsid w:val="003F009E"/>
    <w:rsid w:val="003F0320"/>
    <w:rsid w:val="003F0859"/>
    <w:rsid w:val="003F08E1"/>
    <w:rsid w:val="003F0A93"/>
    <w:rsid w:val="003F0B6E"/>
    <w:rsid w:val="003F0C7C"/>
    <w:rsid w:val="003F15A8"/>
    <w:rsid w:val="003F15B2"/>
    <w:rsid w:val="003F160F"/>
    <w:rsid w:val="003F1809"/>
    <w:rsid w:val="003F18FB"/>
    <w:rsid w:val="003F1A23"/>
    <w:rsid w:val="003F1AD6"/>
    <w:rsid w:val="003F1C6B"/>
    <w:rsid w:val="003F1D42"/>
    <w:rsid w:val="003F21A0"/>
    <w:rsid w:val="003F245A"/>
    <w:rsid w:val="003F251E"/>
    <w:rsid w:val="003F273A"/>
    <w:rsid w:val="003F2D19"/>
    <w:rsid w:val="003F305E"/>
    <w:rsid w:val="003F306A"/>
    <w:rsid w:val="003F3193"/>
    <w:rsid w:val="003F3485"/>
    <w:rsid w:val="003F38B5"/>
    <w:rsid w:val="003F418D"/>
    <w:rsid w:val="003F41FB"/>
    <w:rsid w:val="003F464E"/>
    <w:rsid w:val="003F47F2"/>
    <w:rsid w:val="003F4AF3"/>
    <w:rsid w:val="003F4DDC"/>
    <w:rsid w:val="003F4FB7"/>
    <w:rsid w:val="003F5024"/>
    <w:rsid w:val="003F5564"/>
    <w:rsid w:val="003F57E2"/>
    <w:rsid w:val="003F58A5"/>
    <w:rsid w:val="003F5B08"/>
    <w:rsid w:val="003F5CB0"/>
    <w:rsid w:val="003F5E41"/>
    <w:rsid w:val="003F6607"/>
    <w:rsid w:val="003F6740"/>
    <w:rsid w:val="003F6D53"/>
    <w:rsid w:val="003F6F7D"/>
    <w:rsid w:val="003F71CD"/>
    <w:rsid w:val="003F735B"/>
    <w:rsid w:val="003F783A"/>
    <w:rsid w:val="003F78D3"/>
    <w:rsid w:val="003F78E0"/>
    <w:rsid w:val="003F7903"/>
    <w:rsid w:val="003F7C06"/>
    <w:rsid w:val="003F7C37"/>
    <w:rsid w:val="003F7DA5"/>
    <w:rsid w:val="003F7DE3"/>
    <w:rsid w:val="004000DE"/>
    <w:rsid w:val="00400420"/>
    <w:rsid w:val="004011CD"/>
    <w:rsid w:val="004011E9"/>
    <w:rsid w:val="0040152E"/>
    <w:rsid w:val="0040165D"/>
    <w:rsid w:val="004021C9"/>
    <w:rsid w:val="0040225F"/>
    <w:rsid w:val="00402332"/>
    <w:rsid w:val="00402429"/>
    <w:rsid w:val="00402546"/>
    <w:rsid w:val="00402672"/>
    <w:rsid w:val="00402BE3"/>
    <w:rsid w:val="00402E06"/>
    <w:rsid w:val="00402EF5"/>
    <w:rsid w:val="00402FF9"/>
    <w:rsid w:val="004034DA"/>
    <w:rsid w:val="004036CA"/>
    <w:rsid w:val="00403A6F"/>
    <w:rsid w:val="00403F34"/>
    <w:rsid w:val="00403F36"/>
    <w:rsid w:val="00403F44"/>
    <w:rsid w:val="00403F46"/>
    <w:rsid w:val="004040FD"/>
    <w:rsid w:val="00404197"/>
    <w:rsid w:val="0040487B"/>
    <w:rsid w:val="00404C27"/>
    <w:rsid w:val="00404FD4"/>
    <w:rsid w:val="00405391"/>
    <w:rsid w:val="004053F5"/>
    <w:rsid w:val="00405416"/>
    <w:rsid w:val="00405475"/>
    <w:rsid w:val="004056BB"/>
    <w:rsid w:val="0040606D"/>
    <w:rsid w:val="0040609C"/>
    <w:rsid w:val="00406271"/>
    <w:rsid w:val="00406571"/>
    <w:rsid w:val="004066EF"/>
    <w:rsid w:val="00406D67"/>
    <w:rsid w:val="00406FA4"/>
    <w:rsid w:val="004076D5"/>
    <w:rsid w:val="00407AA1"/>
    <w:rsid w:val="00407E10"/>
    <w:rsid w:val="00407EEF"/>
    <w:rsid w:val="00410217"/>
    <w:rsid w:val="00410AF7"/>
    <w:rsid w:val="00410B77"/>
    <w:rsid w:val="00410BF4"/>
    <w:rsid w:val="00410F93"/>
    <w:rsid w:val="00411BDD"/>
    <w:rsid w:val="00412030"/>
    <w:rsid w:val="004121C1"/>
    <w:rsid w:val="00412391"/>
    <w:rsid w:val="00412443"/>
    <w:rsid w:val="00412467"/>
    <w:rsid w:val="004128E5"/>
    <w:rsid w:val="00412E20"/>
    <w:rsid w:val="00413143"/>
    <w:rsid w:val="00413188"/>
    <w:rsid w:val="00413C9F"/>
    <w:rsid w:val="00413E4D"/>
    <w:rsid w:val="00413EC0"/>
    <w:rsid w:val="0041426E"/>
    <w:rsid w:val="00414DFE"/>
    <w:rsid w:val="004150F2"/>
    <w:rsid w:val="00415537"/>
    <w:rsid w:val="00415590"/>
    <w:rsid w:val="004156AB"/>
    <w:rsid w:val="004157B7"/>
    <w:rsid w:val="0041585E"/>
    <w:rsid w:val="00415974"/>
    <w:rsid w:val="004159EA"/>
    <w:rsid w:val="00415A64"/>
    <w:rsid w:val="00415AA9"/>
    <w:rsid w:val="00415CAC"/>
    <w:rsid w:val="0041603D"/>
    <w:rsid w:val="00416091"/>
    <w:rsid w:val="0041660A"/>
    <w:rsid w:val="00416949"/>
    <w:rsid w:val="00416A3E"/>
    <w:rsid w:val="00416ED5"/>
    <w:rsid w:val="0041733C"/>
    <w:rsid w:val="004174D6"/>
    <w:rsid w:val="0041793F"/>
    <w:rsid w:val="00417EA9"/>
    <w:rsid w:val="004201C3"/>
    <w:rsid w:val="0042031A"/>
    <w:rsid w:val="0042032D"/>
    <w:rsid w:val="00420346"/>
    <w:rsid w:val="004204A4"/>
    <w:rsid w:val="004205E9"/>
    <w:rsid w:val="00420627"/>
    <w:rsid w:val="0042065A"/>
    <w:rsid w:val="00420A15"/>
    <w:rsid w:val="0042105D"/>
    <w:rsid w:val="0042129C"/>
    <w:rsid w:val="0042144B"/>
    <w:rsid w:val="004218C5"/>
    <w:rsid w:val="00421EAA"/>
    <w:rsid w:val="004221DA"/>
    <w:rsid w:val="0042244D"/>
    <w:rsid w:val="00422469"/>
    <w:rsid w:val="00422D2C"/>
    <w:rsid w:val="00422EF5"/>
    <w:rsid w:val="00422FF8"/>
    <w:rsid w:val="00423401"/>
    <w:rsid w:val="00423784"/>
    <w:rsid w:val="00423DC0"/>
    <w:rsid w:val="00424245"/>
    <w:rsid w:val="00424530"/>
    <w:rsid w:val="00424A3F"/>
    <w:rsid w:val="00424C06"/>
    <w:rsid w:val="00424D5A"/>
    <w:rsid w:val="00424DE6"/>
    <w:rsid w:val="004254A4"/>
    <w:rsid w:val="00425916"/>
    <w:rsid w:val="00425E0A"/>
    <w:rsid w:val="00425E98"/>
    <w:rsid w:val="004267CD"/>
    <w:rsid w:val="004269FF"/>
    <w:rsid w:val="00426A90"/>
    <w:rsid w:val="00426D4A"/>
    <w:rsid w:val="00427030"/>
    <w:rsid w:val="00427194"/>
    <w:rsid w:val="0042720A"/>
    <w:rsid w:val="00427251"/>
    <w:rsid w:val="00427520"/>
    <w:rsid w:val="0042760A"/>
    <w:rsid w:val="00427629"/>
    <w:rsid w:val="004278F2"/>
    <w:rsid w:val="0042791F"/>
    <w:rsid w:val="00427961"/>
    <w:rsid w:val="0042797C"/>
    <w:rsid w:val="00427ACD"/>
    <w:rsid w:val="004301A1"/>
    <w:rsid w:val="004304F8"/>
    <w:rsid w:val="00430976"/>
    <w:rsid w:val="0043099A"/>
    <w:rsid w:val="00430B7D"/>
    <w:rsid w:val="004312DB"/>
    <w:rsid w:val="0043147A"/>
    <w:rsid w:val="0043187D"/>
    <w:rsid w:val="00431AC2"/>
    <w:rsid w:val="00431AE4"/>
    <w:rsid w:val="004324EA"/>
    <w:rsid w:val="004325E2"/>
    <w:rsid w:val="00432966"/>
    <w:rsid w:val="00432BD7"/>
    <w:rsid w:val="004330A8"/>
    <w:rsid w:val="004330C0"/>
    <w:rsid w:val="00433412"/>
    <w:rsid w:val="00433575"/>
    <w:rsid w:val="00433757"/>
    <w:rsid w:val="004337E8"/>
    <w:rsid w:val="00433CD3"/>
    <w:rsid w:val="00433D16"/>
    <w:rsid w:val="00433F4B"/>
    <w:rsid w:val="004340C5"/>
    <w:rsid w:val="00434C9E"/>
    <w:rsid w:val="00434D7E"/>
    <w:rsid w:val="00434E19"/>
    <w:rsid w:val="00434FA5"/>
    <w:rsid w:val="00434FC4"/>
    <w:rsid w:val="00435363"/>
    <w:rsid w:val="00435938"/>
    <w:rsid w:val="00436317"/>
    <w:rsid w:val="00436401"/>
    <w:rsid w:val="00436E07"/>
    <w:rsid w:val="0043727B"/>
    <w:rsid w:val="00437682"/>
    <w:rsid w:val="0043782E"/>
    <w:rsid w:val="00437922"/>
    <w:rsid w:val="004379BA"/>
    <w:rsid w:val="00437A45"/>
    <w:rsid w:val="00437A63"/>
    <w:rsid w:val="00440471"/>
    <w:rsid w:val="004408E2"/>
    <w:rsid w:val="004410D6"/>
    <w:rsid w:val="004411DC"/>
    <w:rsid w:val="004413AB"/>
    <w:rsid w:val="0044174D"/>
    <w:rsid w:val="00441B7A"/>
    <w:rsid w:val="00441BD5"/>
    <w:rsid w:val="0044209C"/>
    <w:rsid w:val="0044241D"/>
    <w:rsid w:val="0044267C"/>
    <w:rsid w:val="00442819"/>
    <w:rsid w:val="0044290A"/>
    <w:rsid w:val="00442AB2"/>
    <w:rsid w:val="00442ADB"/>
    <w:rsid w:val="00442F68"/>
    <w:rsid w:val="004430E3"/>
    <w:rsid w:val="00443300"/>
    <w:rsid w:val="004434E4"/>
    <w:rsid w:val="0044353B"/>
    <w:rsid w:val="0044378B"/>
    <w:rsid w:val="004438EE"/>
    <w:rsid w:val="00443CB8"/>
    <w:rsid w:val="00443D16"/>
    <w:rsid w:val="00443D98"/>
    <w:rsid w:val="00443DEF"/>
    <w:rsid w:val="00443F8D"/>
    <w:rsid w:val="00444217"/>
    <w:rsid w:val="00444301"/>
    <w:rsid w:val="004444FE"/>
    <w:rsid w:val="00444E90"/>
    <w:rsid w:val="00445347"/>
    <w:rsid w:val="00445532"/>
    <w:rsid w:val="004455A5"/>
    <w:rsid w:val="004460BC"/>
    <w:rsid w:val="0044642A"/>
    <w:rsid w:val="00446462"/>
    <w:rsid w:val="004464EA"/>
    <w:rsid w:val="00446544"/>
    <w:rsid w:val="004475C6"/>
    <w:rsid w:val="004501E2"/>
    <w:rsid w:val="0045066F"/>
    <w:rsid w:val="00450864"/>
    <w:rsid w:val="0045091C"/>
    <w:rsid w:val="00450B85"/>
    <w:rsid w:val="00450D67"/>
    <w:rsid w:val="00450F30"/>
    <w:rsid w:val="00451126"/>
    <w:rsid w:val="00451CBA"/>
    <w:rsid w:val="00451CEB"/>
    <w:rsid w:val="00451FF4"/>
    <w:rsid w:val="00452388"/>
    <w:rsid w:val="004523DA"/>
    <w:rsid w:val="00452A74"/>
    <w:rsid w:val="00452F80"/>
    <w:rsid w:val="00453807"/>
    <w:rsid w:val="00453C87"/>
    <w:rsid w:val="00453E06"/>
    <w:rsid w:val="00454300"/>
    <w:rsid w:val="0045433D"/>
    <w:rsid w:val="00454636"/>
    <w:rsid w:val="00454BB6"/>
    <w:rsid w:val="00454BE4"/>
    <w:rsid w:val="00454F14"/>
    <w:rsid w:val="004559D1"/>
    <w:rsid w:val="00455B1A"/>
    <w:rsid w:val="00455BE7"/>
    <w:rsid w:val="00455C0A"/>
    <w:rsid w:val="00455F47"/>
    <w:rsid w:val="0045606A"/>
    <w:rsid w:val="004564FF"/>
    <w:rsid w:val="00456B0E"/>
    <w:rsid w:val="00456B88"/>
    <w:rsid w:val="00456E70"/>
    <w:rsid w:val="00456F93"/>
    <w:rsid w:val="00457DA8"/>
    <w:rsid w:val="00457E12"/>
    <w:rsid w:val="00457E94"/>
    <w:rsid w:val="0046059B"/>
    <w:rsid w:val="0046067F"/>
    <w:rsid w:val="00460798"/>
    <w:rsid w:val="00460A9A"/>
    <w:rsid w:val="00460CDB"/>
    <w:rsid w:val="00460D61"/>
    <w:rsid w:val="00461025"/>
    <w:rsid w:val="0046105B"/>
    <w:rsid w:val="004616CF"/>
    <w:rsid w:val="0046182E"/>
    <w:rsid w:val="004620AE"/>
    <w:rsid w:val="004624BC"/>
    <w:rsid w:val="0046282A"/>
    <w:rsid w:val="00463641"/>
    <w:rsid w:val="00463A6E"/>
    <w:rsid w:val="00463C42"/>
    <w:rsid w:val="00463CE1"/>
    <w:rsid w:val="00463D30"/>
    <w:rsid w:val="00463E25"/>
    <w:rsid w:val="0046428E"/>
    <w:rsid w:val="00464350"/>
    <w:rsid w:val="00464637"/>
    <w:rsid w:val="004648EC"/>
    <w:rsid w:val="00464ABA"/>
    <w:rsid w:val="00464CAC"/>
    <w:rsid w:val="00465222"/>
    <w:rsid w:val="00465A86"/>
    <w:rsid w:val="00465CFA"/>
    <w:rsid w:val="00465E61"/>
    <w:rsid w:val="004662A8"/>
    <w:rsid w:val="004664B2"/>
    <w:rsid w:val="00467320"/>
    <w:rsid w:val="00467372"/>
    <w:rsid w:val="00467395"/>
    <w:rsid w:val="004675E0"/>
    <w:rsid w:val="00467BB3"/>
    <w:rsid w:val="00467BBF"/>
    <w:rsid w:val="00467CF2"/>
    <w:rsid w:val="00467D89"/>
    <w:rsid w:val="004701F7"/>
    <w:rsid w:val="0047053E"/>
    <w:rsid w:val="00470679"/>
    <w:rsid w:val="00470AB2"/>
    <w:rsid w:val="00470C45"/>
    <w:rsid w:val="0047111F"/>
    <w:rsid w:val="00471123"/>
    <w:rsid w:val="00471310"/>
    <w:rsid w:val="004713BE"/>
    <w:rsid w:val="00471442"/>
    <w:rsid w:val="00471BE9"/>
    <w:rsid w:val="00472054"/>
    <w:rsid w:val="004724BC"/>
    <w:rsid w:val="00472BDB"/>
    <w:rsid w:val="00472BEA"/>
    <w:rsid w:val="0047336C"/>
    <w:rsid w:val="004734BE"/>
    <w:rsid w:val="00473732"/>
    <w:rsid w:val="00473778"/>
    <w:rsid w:val="00473791"/>
    <w:rsid w:val="00473856"/>
    <w:rsid w:val="004739F1"/>
    <w:rsid w:val="00474107"/>
    <w:rsid w:val="00474840"/>
    <w:rsid w:val="00474A42"/>
    <w:rsid w:val="00474A73"/>
    <w:rsid w:val="00474C63"/>
    <w:rsid w:val="00475390"/>
    <w:rsid w:val="004755A4"/>
    <w:rsid w:val="00475DD3"/>
    <w:rsid w:val="00475FC8"/>
    <w:rsid w:val="00476413"/>
    <w:rsid w:val="0047651C"/>
    <w:rsid w:val="00476D29"/>
    <w:rsid w:val="00476D8D"/>
    <w:rsid w:val="00476E4B"/>
    <w:rsid w:val="004770B3"/>
    <w:rsid w:val="004770F2"/>
    <w:rsid w:val="0047772D"/>
    <w:rsid w:val="0047782C"/>
    <w:rsid w:val="00477940"/>
    <w:rsid w:val="00477C82"/>
    <w:rsid w:val="00480672"/>
    <w:rsid w:val="00481B25"/>
    <w:rsid w:val="00481C40"/>
    <w:rsid w:val="00481E6B"/>
    <w:rsid w:val="004823DB"/>
    <w:rsid w:val="004823F1"/>
    <w:rsid w:val="004824BC"/>
    <w:rsid w:val="004825B3"/>
    <w:rsid w:val="00482E86"/>
    <w:rsid w:val="00482FDC"/>
    <w:rsid w:val="004836F2"/>
    <w:rsid w:val="00483783"/>
    <w:rsid w:val="0048402B"/>
    <w:rsid w:val="004840EE"/>
    <w:rsid w:val="0048421D"/>
    <w:rsid w:val="004849E7"/>
    <w:rsid w:val="00484C51"/>
    <w:rsid w:val="00484C7F"/>
    <w:rsid w:val="00484E41"/>
    <w:rsid w:val="00484F63"/>
    <w:rsid w:val="004852E1"/>
    <w:rsid w:val="00485307"/>
    <w:rsid w:val="004858AC"/>
    <w:rsid w:val="00485911"/>
    <w:rsid w:val="00485C9A"/>
    <w:rsid w:val="00485D99"/>
    <w:rsid w:val="00485EBE"/>
    <w:rsid w:val="004863DD"/>
    <w:rsid w:val="00486745"/>
    <w:rsid w:val="004868F7"/>
    <w:rsid w:val="00486926"/>
    <w:rsid w:val="00486C74"/>
    <w:rsid w:val="00486CA6"/>
    <w:rsid w:val="0048731D"/>
    <w:rsid w:val="00487490"/>
    <w:rsid w:val="00487C70"/>
    <w:rsid w:val="00490005"/>
    <w:rsid w:val="00490B94"/>
    <w:rsid w:val="00490C63"/>
    <w:rsid w:val="00490D04"/>
    <w:rsid w:val="00490F63"/>
    <w:rsid w:val="00491222"/>
    <w:rsid w:val="00491443"/>
    <w:rsid w:val="004914D9"/>
    <w:rsid w:val="00491BF8"/>
    <w:rsid w:val="00491DFE"/>
    <w:rsid w:val="00491E17"/>
    <w:rsid w:val="00491FCF"/>
    <w:rsid w:val="004921CA"/>
    <w:rsid w:val="0049231D"/>
    <w:rsid w:val="00492792"/>
    <w:rsid w:val="00492BA9"/>
    <w:rsid w:val="00492D42"/>
    <w:rsid w:val="004933AC"/>
    <w:rsid w:val="00493408"/>
    <w:rsid w:val="0049362A"/>
    <w:rsid w:val="004938E6"/>
    <w:rsid w:val="00493EF6"/>
    <w:rsid w:val="004940EA"/>
    <w:rsid w:val="00494359"/>
    <w:rsid w:val="00494758"/>
    <w:rsid w:val="00494821"/>
    <w:rsid w:val="00494B10"/>
    <w:rsid w:val="00494B8F"/>
    <w:rsid w:val="00494DD4"/>
    <w:rsid w:val="00495345"/>
    <w:rsid w:val="00495598"/>
    <w:rsid w:val="0049566B"/>
    <w:rsid w:val="0049578A"/>
    <w:rsid w:val="004957E2"/>
    <w:rsid w:val="00495933"/>
    <w:rsid w:val="00495996"/>
    <w:rsid w:val="00495B74"/>
    <w:rsid w:val="00495D7F"/>
    <w:rsid w:val="00495F14"/>
    <w:rsid w:val="00496006"/>
    <w:rsid w:val="0049625E"/>
    <w:rsid w:val="004964F4"/>
    <w:rsid w:val="004965B2"/>
    <w:rsid w:val="00496643"/>
    <w:rsid w:val="004966A2"/>
    <w:rsid w:val="00496817"/>
    <w:rsid w:val="00496820"/>
    <w:rsid w:val="004973CC"/>
    <w:rsid w:val="004974DB"/>
    <w:rsid w:val="004974DD"/>
    <w:rsid w:val="004976E4"/>
    <w:rsid w:val="004A03E8"/>
    <w:rsid w:val="004A0454"/>
    <w:rsid w:val="004A04AB"/>
    <w:rsid w:val="004A0905"/>
    <w:rsid w:val="004A1050"/>
    <w:rsid w:val="004A167D"/>
    <w:rsid w:val="004A1AD6"/>
    <w:rsid w:val="004A1CE2"/>
    <w:rsid w:val="004A1D6F"/>
    <w:rsid w:val="004A1F3B"/>
    <w:rsid w:val="004A245E"/>
    <w:rsid w:val="004A293B"/>
    <w:rsid w:val="004A2F02"/>
    <w:rsid w:val="004A2F24"/>
    <w:rsid w:val="004A2F47"/>
    <w:rsid w:val="004A34AD"/>
    <w:rsid w:val="004A34D6"/>
    <w:rsid w:val="004A35AE"/>
    <w:rsid w:val="004A3898"/>
    <w:rsid w:val="004A39CE"/>
    <w:rsid w:val="004A3CF5"/>
    <w:rsid w:val="004A3F26"/>
    <w:rsid w:val="004A435C"/>
    <w:rsid w:val="004A43CE"/>
    <w:rsid w:val="004A46B0"/>
    <w:rsid w:val="004A46F0"/>
    <w:rsid w:val="004A4746"/>
    <w:rsid w:val="004A4B68"/>
    <w:rsid w:val="004A4E71"/>
    <w:rsid w:val="004A4F30"/>
    <w:rsid w:val="004A560F"/>
    <w:rsid w:val="004A56D3"/>
    <w:rsid w:val="004A5E89"/>
    <w:rsid w:val="004A5EF7"/>
    <w:rsid w:val="004A62AE"/>
    <w:rsid w:val="004A6ACB"/>
    <w:rsid w:val="004A6DA7"/>
    <w:rsid w:val="004A70EC"/>
    <w:rsid w:val="004A722D"/>
    <w:rsid w:val="004A723E"/>
    <w:rsid w:val="004A7525"/>
    <w:rsid w:val="004A77EC"/>
    <w:rsid w:val="004A784D"/>
    <w:rsid w:val="004A7AD1"/>
    <w:rsid w:val="004A7BCF"/>
    <w:rsid w:val="004A7C25"/>
    <w:rsid w:val="004A7D5D"/>
    <w:rsid w:val="004B036B"/>
    <w:rsid w:val="004B13B8"/>
    <w:rsid w:val="004B1606"/>
    <w:rsid w:val="004B162E"/>
    <w:rsid w:val="004B1D03"/>
    <w:rsid w:val="004B1DE8"/>
    <w:rsid w:val="004B1E81"/>
    <w:rsid w:val="004B1F22"/>
    <w:rsid w:val="004B284C"/>
    <w:rsid w:val="004B297E"/>
    <w:rsid w:val="004B2B46"/>
    <w:rsid w:val="004B315C"/>
    <w:rsid w:val="004B33D1"/>
    <w:rsid w:val="004B3912"/>
    <w:rsid w:val="004B3B8D"/>
    <w:rsid w:val="004B4076"/>
    <w:rsid w:val="004B41EB"/>
    <w:rsid w:val="004B4994"/>
    <w:rsid w:val="004B4ACE"/>
    <w:rsid w:val="004B4C4D"/>
    <w:rsid w:val="004B4C60"/>
    <w:rsid w:val="004B4C7F"/>
    <w:rsid w:val="004B4CA0"/>
    <w:rsid w:val="004B4F7B"/>
    <w:rsid w:val="004B526B"/>
    <w:rsid w:val="004B5427"/>
    <w:rsid w:val="004B58A7"/>
    <w:rsid w:val="004B5910"/>
    <w:rsid w:val="004B5E7F"/>
    <w:rsid w:val="004B6114"/>
    <w:rsid w:val="004B62DF"/>
    <w:rsid w:val="004B6351"/>
    <w:rsid w:val="004B75FE"/>
    <w:rsid w:val="004B77B4"/>
    <w:rsid w:val="004B77E9"/>
    <w:rsid w:val="004B7902"/>
    <w:rsid w:val="004B7CBA"/>
    <w:rsid w:val="004B7EB3"/>
    <w:rsid w:val="004B7FE0"/>
    <w:rsid w:val="004C0238"/>
    <w:rsid w:val="004C1771"/>
    <w:rsid w:val="004C1904"/>
    <w:rsid w:val="004C1905"/>
    <w:rsid w:val="004C197B"/>
    <w:rsid w:val="004C19FA"/>
    <w:rsid w:val="004C1C9A"/>
    <w:rsid w:val="004C21A4"/>
    <w:rsid w:val="004C2F1C"/>
    <w:rsid w:val="004C3167"/>
    <w:rsid w:val="004C31BD"/>
    <w:rsid w:val="004C34E8"/>
    <w:rsid w:val="004C3576"/>
    <w:rsid w:val="004C379B"/>
    <w:rsid w:val="004C3AC4"/>
    <w:rsid w:val="004C3E39"/>
    <w:rsid w:val="004C4370"/>
    <w:rsid w:val="004C467A"/>
    <w:rsid w:val="004C4C84"/>
    <w:rsid w:val="004C4CB8"/>
    <w:rsid w:val="004C4E5F"/>
    <w:rsid w:val="004C4E69"/>
    <w:rsid w:val="004C4FD0"/>
    <w:rsid w:val="004C5022"/>
    <w:rsid w:val="004C50D0"/>
    <w:rsid w:val="004C5330"/>
    <w:rsid w:val="004C5633"/>
    <w:rsid w:val="004C5912"/>
    <w:rsid w:val="004C5C30"/>
    <w:rsid w:val="004C5FC7"/>
    <w:rsid w:val="004C6239"/>
    <w:rsid w:val="004C6661"/>
    <w:rsid w:val="004C6E3A"/>
    <w:rsid w:val="004C71FE"/>
    <w:rsid w:val="004C7594"/>
    <w:rsid w:val="004C77C8"/>
    <w:rsid w:val="004C780F"/>
    <w:rsid w:val="004C7BF8"/>
    <w:rsid w:val="004C7C82"/>
    <w:rsid w:val="004D0CA0"/>
    <w:rsid w:val="004D0E92"/>
    <w:rsid w:val="004D10A9"/>
    <w:rsid w:val="004D15F1"/>
    <w:rsid w:val="004D1C73"/>
    <w:rsid w:val="004D1DDD"/>
    <w:rsid w:val="004D1EEC"/>
    <w:rsid w:val="004D1F8E"/>
    <w:rsid w:val="004D2023"/>
    <w:rsid w:val="004D2138"/>
    <w:rsid w:val="004D28D5"/>
    <w:rsid w:val="004D2D86"/>
    <w:rsid w:val="004D32D3"/>
    <w:rsid w:val="004D3689"/>
    <w:rsid w:val="004D3B9F"/>
    <w:rsid w:val="004D42D3"/>
    <w:rsid w:val="004D44CD"/>
    <w:rsid w:val="004D470D"/>
    <w:rsid w:val="004D4A51"/>
    <w:rsid w:val="004D51E9"/>
    <w:rsid w:val="004D57FC"/>
    <w:rsid w:val="004D5E21"/>
    <w:rsid w:val="004D5E6D"/>
    <w:rsid w:val="004D5EED"/>
    <w:rsid w:val="004D5F16"/>
    <w:rsid w:val="004D60A1"/>
    <w:rsid w:val="004D6361"/>
    <w:rsid w:val="004D6363"/>
    <w:rsid w:val="004D6C85"/>
    <w:rsid w:val="004D6CAB"/>
    <w:rsid w:val="004D7068"/>
    <w:rsid w:val="004D758B"/>
    <w:rsid w:val="004D7E2C"/>
    <w:rsid w:val="004E0234"/>
    <w:rsid w:val="004E02AD"/>
    <w:rsid w:val="004E04BE"/>
    <w:rsid w:val="004E05CC"/>
    <w:rsid w:val="004E0778"/>
    <w:rsid w:val="004E0D4B"/>
    <w:rsid w:val="004E0E98"/>
    <w:rsid w:val="004E0EEB"/>
    <w:rsid w:val="004E15D3"/>
    <w:rsid w:val="004E1CCB"/>
    <w:rsid w:val="004E29FA"/>
    <w:rsid w:val="004E3116"/>
    <w:rsid w:val="004E316B"/>
    <w:rsid w:val="004E353B"/>
    <w:rsid w:val="004E3560"/>
    <w:rsid w:val="004E372A"/>
    <w:rsid w:val="004E4393"/>
    <w:rsid w:val="004E446E"/>
    <w:rsid w:val="004E4595"/>
    <w:rsid w:val="004E4596"/>
    <w:rsid w:val="004E4949"/>
    <w:rsid w:val="004E49B4"/>
    <w:rsid w:val="004E4F32"/>
    <w:rsid w:val="004E58D8"/>
    <w:rsid w:val="004E6143"/>
    <w:rsid w:val="004E69AA"/>
    <w:rsid w:val="004E6AE7"/>
    <w:rsid w:val="004E78B4"/>
    <w:rsid w:val="004E7933"/>
    <w:rsid w:val="004F02E0"/>
    <w:rsid w:val="004F046C"/>
    <w:rsid w:val="004F05D5"/>
    <w:rsid w:val="004F05F6"/>
    <w:rsid w:val="004F068E"/>
    <w:rsid w:val="004F0839"/>
    <w:rsid w:val="004F0CC8"/>
    <w:rsid w:val="004F1031"/>
    <w:rsid w:val="004F1102"/>
    <w:rsid w:val="004F134B"/>
    <w:rsid w:val="004F1AF8"/>
    <w:rsid w:val="004F1C2C"/>
    <w:rsid w:val="004F1FCF"/>
    <w:rsid w:val="004F2033"/>
    <w:rsid w:val="004F206F"/>
    <w:rsid w:val="004F2108"/>
    <w:rsid w:val="004F2368"/>
    <w:rsid w:val="004F23FE"/>
    <w:rsid w:val="004F2529"/>
    <w:rsid w:val="004F2C7A"/>
    <w:rsid w:val="004F3094"/>
    <w:rsid w:val="004F399D"/>
    <w:rsid w:val="004F3C2E"/>
    <w:rsid w:val="004F3EED"/>
    <w:rsid w:val="004F47C7"/>
    <w:rsid w:val="004F4DC2"/>
    <w:rsid w:val="004F5679"/>
    <w:rsid w:val="004F58E6"/>
    <w:rsid w:val="004F5EF1"/>
    <w:rsid w:val="004F619B"/>
    <w:rsid w:val="004F621D"/>
    <w:rsid w:val="004F6767"/>
    <w:rsid w:val="004F689E"/>
    <w:rsid w:val="004F68FA"/>
    <w:rsid w:val="004F6C2B"/>
    <w:rsid w:val="004F6C3E"/>
    <w:rsid w:val="004F6E6D"/>
    <w:rsid w:val="004F704D"/>
    <w:rsid w:val="004F748B"/>
    <w:rsid w:val="004F7760"/>
    <w:rsid w:val="004F7A4B"/>
    <w:rsid w:val="004F7AC7"/>
    <w:rsid w:val="004F7D9C"/>
    <w:rsid w:val="004F7EF9"/>
    <w:rsid w:val="00500042"/>
    <w:rsid w:val="005002CC"/>
    <w:rsid w:val="0050039A"/>
    <w:rsid w:val="00500562"/>
    <w:rsid w:val="0050056E"/>
    <w:rsid w:val="00500578"/>
    <w:rsid w:val="005005E2"/>
    <w:rsid w:val="00500664"/>
    <w:rsid w:val="005006A2"/>
    <w:rsid w:val="005008D0"/>
    <w:rsid w:val="00500ABE"/>
    <w:rsid w:val="00501AC6"/>
    <w:rsid w:val="00501B25"/>
    <w:rsid w:val="00502113"/>
    <w:rsid w:val="0050216F"/>
    <w:rsid w:val="00502256"/>
    <w:rsid w:val="0050259D"/>
    <w:rsid w:val="00502A55"/>
    <w:rsid w:val="00502DE5"/>
    <w:rsid w:val="005031C8"/>
    <w:rsid w:val="0050328D"/>
    <w:rsid w:val="005037C5"/>
    <w:rsid w:val="00503D10"/>
    <w:rsid w:val="00503D44"/>
    <w:rsid w:val="00503EE3"/>
    <w:rsid w:val="00503F3F"/>
    <w:rsid w:val="0050429B"/>
    <w:rsid w:val="00504939"/>
    <w:rsid w:val="00504A04"/>
    <w:rsid w:val="00504C3D"/>
    <w:rsid w:val="00504C9D"/>
    <w:rsid w:val="0050531C"/>
    <w:rsid w:val="00505479"/>
    <w:rsid w:val="0050583D"/>
    <w:rsid w:val="00505E96"/>
    <w:rsid w:val="00505FA2"/>
    <w:rsid w:val="00506800"/>
    <w:rsid w:val="005069AB"/>
    <w:rsid w:val="00506B1A"/>
    <w:rsid w:val="00506CEA"/>
    <w:rsid w:val="0050706D"/>
    <w:rsid w:val="005073EC"/>
    <w:rsid w:val="0050750C"/>
    <w:rsid w:val="0050751F"/>
    <w:rsid w:val="0050775F"/>
    <w:rsid w:val="00507C2C"/>
    <w:rsid w:val="00507D10"/>
    <w:rsid w:val="00507D99"/>
    <w:rsid w:val="0051031A"/>
    <w:rsid w:val="0051038D"/>
    <w:rsid w:val="005106F0"/>
    <w:rsid w:val="005107B6"/>
    <w:rsid w:val="00510CC5"/>
    <w:rsid w:val="00510E88"/>
    <w:rsid w:val="00510EE4"/>
    <w:rsid w:val="0051107E"/>
    <w:rsid w:val="005111EA"/>
    <w:rsid w:val="00511243"/>
    <w:rsid w:val="00511367"/>
    <w:rsid w:val="0051157A"/>
    <w:rsid w:val="00511620"/>
    <w:rsid w:val="00511628"/>
    <w:rsid w:val="00511653"/>
    <w:rsid w:val="00511871"/>
    <w:rsid w:val="00511894"/>
    <w:rsid w:val="00511900"/>
    <w:rsid w:val="00511DF3"/>
    <w:rsid w:val="00511E33"/>
    <w:rsid w:val="00511EAC"/>
    <w:rsid w:val="00511FEC"/>
    <w:rsid w:val="00512052"/>
    <w:rsid w:val="0051247E"/>
    <w:rsid w:val="005129F0"/>
    <w:rsid w:val="00512B8F"/>
    <w:rsid w:val="00512EE3"/>
    <w:rsid w:val="005132BA"/>
    <w:rsid w:val="0051396B"/>
    <w:rsid w:val="00513CA4"/>
    <w:rsid w:val="00514002"/>
    <w:rsid w:val="005142A7"/>
    <w:rsid w:val="00514499"/>
    <w:rsid w:val="00514726"/>
    <w:rsid w:val="00514DF3"/>
    <w:rsid w:val="00514EEC"/>
    <w:rsid w:val="0051502D"/>
    <w:rsid w:val="0051558D"/>
    <w:rsid w:val="00515968"/>
    <w:rsid w:val="00515A65"/>
    <w:rsid w:val="0051618D"/>
    <w:rsid w:val="005161B7"/>
    <w:rsid w:val="00516242"/>
    <w:rsid w:val="00516416"/>
    <w:rsid w:val="00516542"/>
    <w:rsid w:val="00516DD2"/>
    <w:rsid w:val="00517A5F"/>
    <w:rsid w:val="00517DFC"/>
    <w:rsid w:val="00517F2D"/>
    <w:rsid w:val="00520087"/>
    <w:rsid w:val="0052029C"/>
    <w:rsid w:val="0052055B"/>
    <w:rsid w:val="0052060B"/>
    <w:rsid w:val="005206DA"/>
    <w:rsid w:val="005208A0"/>
    <w:rsid w:val="00520948"/>
    <w:rsid w:val="00520B43"/>
    <w:rsid w:val="00520C4B"/>
    <w:rsid w:val="00520D4A"/>
    <w:rsid w:val="00520DAB"/>
    <w:rsid w:val="00520F04"/>
    <w:rsid w:val="005216EB"/>
    <w:rsid w:val="005216ED"/>
    <w:rsid w:val="00521A6B"/>
    <w:rsid w:val="00521DF2"/>
    <w:rsid w:val="00521F4D"/>
    <w:rsid w:val="00522900"/>
    <w:rsid w:val="00522AAE"/>
    <w:rsid w:val="005231BC"/>
    <w:rsid w:val="00523696"/>
    <w:rsid w:val="005237AD"/>
    <w:rsid w:val="00523875"/>
    <w:rsid w:val="00523AF0"/>
    <w:rsid w:val="00523BB4"/>
    <w:rsid w:val="00523E28"/>
    <w:rsid w:val="0052417D"/>
    <w:rsid w:val="0052448D"/>
    <w:rsid w:val="005244B1"/>
    <w:rsid w:val="005244F3"/>
    <w:rsid w:val="00524854"/>
    <w:rsid w:val="0052496E"/>
    <w:rsid w:val="00524B84"/>
    <w:rsid w:val="00525000"/>
    <w:rsid w:val="00525062"/>
    <w:rsid w:val="00525A12"/>
    <w:rsid w:val="00525EAE"/>
    <w:rsid w:val="00526014"/>
    <w:rsid w:val="0052603F"/>
    <w:rsid w:val="005260DB"/>
    <w:rsid w:val="00526E7B"/>
    <w:rsid w:val="00526F2C"/>
    <w:rsid w:val="0052705B"/>
    <w:rsid w:val="0052707F"/>
    <w:rsid w:val="0052739C"/>
    <w:rsid w:val="00527562"/>
    <w:rsid w:val="00527969"/>
    <w:rsid w:val="00527B10"/>
    <w:rsid w:val="00527D82"/>
    <w:rsid w:val="00527E2A"/>
    <w:rsid w:val="00530285"/>
    <w:rsid w:val="005308A0"/>
    <w:rsid w:val="005309D6"/>
    <w:rsid w:val="00530FBB"/>
    <w:rsid w:val="0053124E"/>
    <w:rsid w:val="00531B3F"/>
    <w:rsid w:val="00531C44"/>
    <w:rsid w:val="00531DCC"/>
    <w:rsid w:val="00532360"/>
    <w:rsid w:val="005326F9"/>
    <w:rsid w:val="00532708"/>
    <w:rsid w:val="005328FA"/>
    <w:rsid w:val="00532C87"/>
    <w:rsid w:val="00533299"/>
    <w:rsid w:val="005335C0"/>
    <w:rsid w:val="00533F38"/>
    <w:rsid w:val="00534063"/>
    <w:rsid w:val="00534243"/>
    <w:rsid w:val="005346F4"/>
    <w:rsid w:val="0053481E"/>
    <w:rsid w:val="00534F60"/>
    <w:rsid w:val="005354C8"/>
    <w:rsid w:val="0053556F"/>
    <w:rsid w:val="00535B0B"/>
    <w:rsid w:val="00535BCA"/>
    <w:rsid w:val="00535C54"/>
    <w:rsid w:val="00535D0E"/>
    <w:rsid w:val="00535E34"/>
    <w:rsid w:val="00535EAD"/>
    <w:rsid w:val="0053655C"/>
    <w:rsid w:val="00537AB5"/>
    <w:rsid w:val="00537C9D"/>
    <w:rsid w:val="005400BA"/>
    <w:rsid w:val="00540923"/>
    <w:rsid w:val="00540AC7"/>
    <w:rsid w:val="00540F80"/>
    <w:rsid w:val="0054119E"/>
    <w:rsid w:val="005413EF"/>
    <w:rsid w:val="00541CAE"/>
    <w:rsid w:val="00541DE8"/>
    <w:rsid w:val="00541FB5"/>
    <w:rsid w:val="005421BC"/>
    <w:rsid w:val="00542292"/>
    <w:rsid w:val="005423AD"/>
    <w:rsid w:val="005424DA"/>
    <w:rsid w:val="005426D1"/>
    <w:rsid w:val="00542713"/>
    <w:rsid w:val="0054278D"/>
    <w:rsid w:val="00542A49"/>
    <w:rsid w:val="00542CEF"/>
    <w:rsid w:val="00543C98"/>
    <w:rsid w:val="00543DBA"/>
    <w:rsid w:val="00543FFF"/>
    <w:rsid w:val="005443E9"/>
    <w:rsid w:val="00544415"/>
    <w:rsid w:val="00544B2C"/>
    <w:rsid w:val="00544FBC"/>
    <w:rsid w:val="005453EC"/>
    <w:rsid w:val="00545647"/>
    <w:rsid w:val="00545AF1"/>
    <w:rsid w:val="00545B2E"/>
    <w:rsid w:val="00545F84"/>
    <w:rsid w:val="005460C9"/>
    <w:rsid w:val="005461FE"/>
    <w:rsid w:val="00546A06"/>
    <w:rsid w:val="00546BC9"/>
    <w:rsid w:val="005478FB"/>
    <w:rsid w:val="0055009E"/>
    <w:rsid w:val="005502A4"/>
    <w:rsid w:val="00550665"/>
    <w:rsid w:val="00550AA9"/>
    <w:rsid w:val="00551037"/>
    <w:rsid w:val="00551A47"/>
    <w:rsid w:val="00551C1F"/>
    <w:rsid w:val="00551CC0"/>
    <w:rsid w:val="00551D78"/>
    <w:rsid w:val="00551EA6"/>
    <w:rsid w:val="00551FE8"/>
    <w:rsid w:val="00552162"/>
    <w:rsid w:val="00552290"/>
    <w:rsid w:val="00552828"/>
    <w:rsid w:val="00552889"/>
    <w:rsid w:val="00552BDE"/>
    <w:rsid w:val="00552DAD"/>
    <w:rsid w:val="00552E6A"/>
    <w:rsid w:val="00552E76"/>
    <w:rsid w:val="005531EC"/>
    <w:rsid w:val="005532F7"/>
    <w:rsid w:val="0055409E"/>
    <w:rsid w:val="00554231"/>
    <w:rsid w:val="00554629"/>
    <w:rsid w:val="00554814"/>
    <w:rsid w:val="005548FE"/>
    <w:rsid w:val="005549A9"/>
    <w:rsid w:val="00554C0E"/>
    <w:rsid w:val="00554D66"/>
    <w:rsid w:val="00554FE2"/>
    <w:rsid w:val="0055526A"/>
    <w:rsid w:val="00555518"/>
    <w:rsid w:val="00555729"/>
    <w:rsid w:val="005565B7"/>
    <w:rsid w:val="00557630"/>
    <w:rsid w:val="00557E4B"/>
    <w:rsid w:val="005609D0"/>
    <w:rsid w:val="00560BB7"/>
    <w:rsid w:val="00560C84"/>
    <w:rsid w:val="00560DC5"/>
    <w:rsid w:val="00560FE7"/>
    <w:rsid w:val="00561159"/>
    <w:rsid w:val="00561A62"/>
    <w:rsid w:val="00561DB6"/>
    <w:rsid w:val="00561EB1"/>
    <w:rsid w:val="00561F4B"/>
    <w:rsid w:val="0056204D"/>
    <w:rsid w:val="0056224E"/>
    <w:rsid w:val="00562C3F"/>
    <w:rsid w:val="00562D82"/>
    <w:rsid w:val="00562E43"/>
    <w:rsid w:val="005630BB"/>
    <w:rsid w:val="005633FC"/>
    <w:rsid w:val="00563425"/>
    <w:rsid w:val="005634BD"/>
    <w:rsid w:val="0056366A"/>
    <w:rsid w:val="00563AAB"/>
    <w:rsid w:val="00563BE6"/>
    <w:rsid w:val="00563D27"/>
    <w:rsid w:val="00563F0D"/>
    <w:rsid w:val="00564426"/>
    <w:rsid w:val="005647D3"/>
    <w:rsid w:val="005647EB"/>
    <w:rsid w:val="00564A06"/>
    <w:rsid w:val="00564CAE"/>
    <w:rsid w:val="00564F47"/>
    <w:rsid w:val="0056516C"/>
    <w:rsid w:val="00565B3F"/>
    <w:rsid w:val="005665D8"/>
    <w:rsid w:val="005665EE"/>
    <w:rsid w:val="00567224"/>
    <w:rsid w:val="005672F3"/>
    <w:rsid w:val="005675DC"/>
    <w:rsid w:val="005675E6"/>
    <w:rsid w:val="00567832"/>
    <w:rsid w:val="00567940"/>
    <w:rsid w:val="00567998"/>
    <w:rsid w:val="00567DC3"/>
    <w:rsid w:val="005700A6"/>
    <w:rsid w:val="005701ED"/>
    <w:rsid w:val="00570493"/>
    <w:rsid w:val="005705AB"/>
    <w:rsid w:val="00570717"/>
    <w:rsid w:val="005708D1"/>
    <w:rsid w:val="0057097D"/>
    <w:rsid w:val="00570ADB"/>
    <w:rsid w:val="00570D98"/>
    <w:rsid w:val="00570EF0"/>
    <w:rsid w:val="005710B4"/>
    <w:rsid w:val="0057116A"/>
    <w:rsid w:val="00571245"/>
    <w:rsid w:val="00571320"/>
    <w:rsid w:val="00571454"/>
    <w:rsid w:val="0057161A"/>
    <w:rsid w:val="005719D3"/>
    <w:rsid w:val="00571C81"/>
    <w:rsid w:val="00571D25"/>
    <w:rsid w:val="00571E03"/>
    <w:rsid w:val="00572110"/>
    <w:rsid w:val="00572783"/>
    <w:rsid w:val="00572784"/>
    <w:rsid w:val="00572EA7"/>
    <w:rsid w:val="00573069"/>
    <w:rsid w:val="00573279"/>
    <w:rsid w:val="00573425"/>
    <w:rsid w:val="0057344E"/>
    <w:rsid w:val="00573826"/>
    <w:rsid w:val="00573BB3"/>
    <w:rsid w:val="00574760"/>
    <w:rsid w:val="0057477B"/>
    <w:rsid w:val="00574A14"/>
    <w:rsid w:val="00574CA2"/>
    <w:rsid w:val="005751C9"/>
    <w:rsid w:val="005752B7"/>
    <w:rsid w:val="0057555F"/>
    <w:rsid w:val="00575D95"/>
    <w:rsid w:val="00575DB7"/>
    <w:rsid w:val="0057653D"/>
    <w:rsid w:val="00576646"/>
    <w:rsid w:val="00576AC2"/>
    <w:rsid w:val="00576C7F"/>
    <w:rsid w:val="00576E1D"/>
    <w:rsid w:val="0057795F"/>
    <w:rsid w:val="00577C80"/>
    <w:rsid w:val="00577EC8"/>
    <w:rsid w:val="00577ED6"/>
    <w:rsid w:val="00577FC5"/>
    <w:rsid w:val="005805A0"/>
    <w:rsid w:val="005805EF"/>
    <w:rsid w:val="00580699"/>
    <w:rsid w:val="00580E94"/>
    <w:rsid w:val="005811F7"/>
    <w:rsid w:val="00581784"/>
    <w:rsid w:val="00581A1B"/>
    <w:rsid w:val="00581A59"/>
    <w:rsid w:val="00581BB1"/>
    <w:rsid w:val="00581BF6"/>
    <w:rsid w:val="00581D94"/>
    <w:rsid w:val="00581DBA"/>
    <w:rsid w:val="00581E7B"/>
    <w:rsid w:val="00582379"/>
    <w:rsid w:val="0058247B"/>
    <w:rsid w:val="005827AC"/>
    <w:rsid w:val="00582840"/>
    <w:rsid w:val="00582951"/>
    <w:rsid w:val="0058296A"/>
    <w:rsid w:val="00582EE5"/>
    <w:rsid w:val="00583192"/>
    <w:rsid w:val="00583520"/>
    <w:rsid w:val="00583827"/>
    <w:rsid w:val="00583F62"/>
    <w:rsid w:val="005846BA"/>
    <w:rsid w:val="0058497E"/>
    <w:rsid w:val="00584D23"/>
    <w:rsid w:val="00584ED5"/>
    <w:rsid w:val="0058527E"/>
    <w:rsid w:val="005858F6"/>
    <w:rsid w:val="00585EEF"/>
    <w:rsid w:val="0058612A"/>
    <w:rsid w:val="0058618A"/>
    <w:rsid w:val="005868CF"/>
    <w:rsid w:val="00586A9C"/>
    <w:rsid w:val="00586B4F"/>
    <w:rsid w:val="005871B7"/>
    <w:rsid w:val="005873E3"/>
    <w:rsid w:val="0058787C"/>
    <w:rsid w:val="00587A4D"/>
    <w:rsid w:val="005901A3"/>
    <w:rsid w:val="005904D3"/>
    <w:rsid w:val="0059056F"/>
    <w:rsid w:val="0059059E"/>
    <w:rsid w:val="00590B17"/>
    <w:rsid w:val="00591258"/>
    <w:rsid w:val="0059136C"/>
    <w:rsid w:val="00591411"/>
    <w:rsid w:val="005915C3"/>
    <w:rsid w:val="0059185F"/>
    <w:rsid w:val="00591C47"/>
    <w:rsid w:val="00591E6D"/>
    <w:rsid w:val="00591EE2"/>
    <w:rsid w:val="00592474"/>
    <w:rsid w:val="005924C7"/>
    <w:rsid w:val="00592613"/>
    <w:rsid w:val="00592621"/>
    <w:rsid w:val="00592642"/>
    <w:rsid w:val="00593646"/>
    <w:rsid w:val="00593795"/>
    <w:rsid w:val="00593ACA"/>
    <w:rsid w:val="00593BB8"/>
    <w:rsid w:val="00593D88"/>
    <w:rsid w:val="005946BB"/>
    <w:rsid w:val="00594750"/>
    <w:rsid w:val="00594791"/>
    <w:rsid w:val="00594CFA"/>
    <w:rsid w:val="00594D31"/>
    <w:rsid w:val="00594E95"/>
    <w:rsid w:val="00595108"/>
    <w:rsid w:val="0059576B"/>
    <w:rsid w:val="0059584F"/>
    <w:rsid w:val="005958F5"/>
    <w:rsid w:val="00596117"/>
    <w:rsid w:val="00596470"/>
    <w:rsid w:val="005965ED"/>
    <w:rsid w:val="00596737"/>
    <w:rsid w:val="00596800"/>
    <w:rsid w:val="00596930"/>
    <w:rsid w:val="005969DA"/>
    <w:rsid w:val="00596E15"/>
    <w:rsid w:val="005971E4"/>
    <w:rsid w:val="00597229"/>
    <w:rsid w:val="005975D0"/>
    <w:rsid w:val="00597BC5"/>
    <w:rsid w:val="00597C3F"/>
    <w:rsid w:val="00597F6B"/>
    <w:rsid w:val="005A023D"/>
    <w:rsid w:val="005A09CA"/>
    <w:rsid w:val="005A13B9"/>
    <w:rsid w:val="005A14CC"/>
    <w:rsid w:val="005A1813"/>
    <w:rsid w:val="005A1D8F"/>
    <w:rsid w:val="005A25FA"/>
    <w:rsid w:val="005A2703"/>
    <w:rsid w:val="005A2B0A"/>
    <w:rsid w:val="005A2E38"/>
    <w:rsid w:val="005A309E"/>
    <w:rsid w:val="005A31AB"/>
    <w:rsid w:val="005A34A5"/>
    <w:rsid w:val="005A3680"/>
    <w:rsid w:val="005A36C1"/>
    <w:rsid w:val="005A3AC9"/>
    <w:rsid w:val="005A3AFF"/>
    <w:rsid w:val="005A3B3F"/>
    <w:rsid w:val="005A3D22"/>
    <w:rsid w:val="005A43F6"/>
    <w:rsid w:val="005A492B"/>
    <w:rsid w:val="005A49C4"/>
    <w:rsid w:val="005A4B63"/>
    <w:rsid w:val="005A4D7C"/>
    <w:rsid w:val="005A4EB9"/>
    <w:rsid w:val="005A543A"/>
    <w:rsid w:val="005A56B7"/>
    <w:rsid w:val="005A5C9B"/>
    <w:rsid w:val="005A5D97"/>
    <w:rsid w:val="005A60B6"/>
    <w:rsid w:val="005A63EE"/>
    <w:rsid w:val="005A653C"/>
    <w:rsid w:val="005A6A2B"/>
    <w:rsid w:val="005A6C3C"/>
    <w:rsid w:val="005A6F8B"/>
    <w:rsid w:val="005A714E"/>
    <w:rsid w:val="005A7CAD"/>
    <w:rsid w:val="005B0285"/>
    <w:rsid w:val="005B08FD"/>
    <w:rsid w:val="005B091C"/>
    <w:rsid w:val="005B0DC5"/>
    <w:rsid w:val="005B0E68"/>
    <w:rsid w:val="005B0F3C"/>
    <w:rsid w:val="005B1196"/>
    <w:rsid w:val="005B1BFB"/>
    <w:rsid w:val="005B1D81"/>
    <w:rsid w:val="005B1DCD"/>
    <w:rsid w:val="005B1ED0"/>
    <w:rsid w:val="005B21F7"/>
    <w:rsid w:val="005B224C"/>
    <w:rsid w:val="005B22A8"/>
    <w:rsid w:val="005B22A9"/>
    <w:rsid w:val="005B25CC"/>
    <w:rsid w:val="005B273F"/>
    <w:rsid w:val="005B282B"/>
    <w:rsid w:val="005B2A0C"/>
    <w:rsid w:val="005B2A51"/>
    <w:rsid w:val="005B2E9A"/>
    <w:rsid w:val="005B2F0E"/>
    <w:rsid w:val="005B2FBE"/>
    <w:rsid w:val="005B3420"/>
    <w:rsid w:val="005B363F"/>
    <w:rsid w:val="005B37A7"/>
    <w:rsid w:val="005B3D76"/>
    <w:rsid w:val="005B3E9A"/>
    <w:rsid w:val="005B3F44"/>
    <w:rsid w:val="005B3FB5"/>
    <w:rsid w:val="005B3FCB"/>
    <w:rsid w:val="005B4762"/>
    <w:rsid w:val="005B47C0"/>
    <w:rsid w:val="005B47D0"/>
    <w:rsid w:val="005B4C6A"/>
    <w:rsid w:val="005B4E3F"/>
    <w:rsid w:val="005B527C"/>
    <w:rsid w:val="005B5730"/>
    <w:rsid w:val="005B595F"/>
    <w:rsid w:val="005B6331"/>
    <w:rsid w:val="005B6633"/>
    <w:rsid w:val="005B669B"/>
    <w:rsid w:val="005B6736"/>
    <w:rsid w:val="005B6767"/>
    <w:rsid w:val="005B6B13"/>
    <w:rsid w:val="005B70B6"/>
    <w:rsid w:val="005B717D"/>
    <w:rsid w:val="005B7380"/>
    <w:rsid w:val="005B7631"/>
    <w:rsid w:val="005B7EFE"/>
    <w:rsid w:val="005B7F3F"/>
    <w:rsid w:val="005C0A32"/>
    <w:rsid w:val="005C0E13"/>
    <w:rsid w:val="005C1005"/>
    <w:rsid w:val="005C1086"/>
    <w:rsid w:val="005C1CE9"/>
    <w:rsid w:val="005C1F58"/>
    <w:rsid w:val="005C1F9D"/>
    <w:rsid w:val="005C2075"/>
    <w:rsid w:val="005C241B"/>
    <w:rsid w:val="005C24D9"/>
    <w:rsid w:val="005C295A"/>
    <w:rsid w:val="005C296C"/>
    <w:rsid w:val="005C32D3"/>
    <w:rsid w:val="005C33C3"/>
    <w:rsid w:val="005C3481"/>
    <w:rsid w:val="005C37E7"/>
    <w:rsid w:val="005C3A2E"/>
    <w:rsid w:val="005C3A3D"/>
    <w:rsid w:val="005C40EF"/>
    <w:rsid w:val="005C42B3"/>
    <w:rsid w:val="005C42C5"/>
    <w:rsid w:val="005C4DBF"/>
    <w:rsid w:val="005C522E"/>
    <w:rsid w:val="005C5578"/>
    <w:rsid w:val="005C5BA7"/>
    <w:rsid w:val="005C5EEC"/>
    <w:rsid w:val="005C6167"/>
    <w:rsid w:val="005C6406"/>
    <w:rsid w:val="005C65E0"/>
    <w:rsid w:val="005C6601"/>
    <w:rsid w:val="005C660A"/>
    <w:rsid w:val="005C66AA"/>
    <w:rsid w:val="005C687A"/>
    <w:rsid w:val="005C6ADE"/>
    <w:rsid w:val="005C7140"/>
    <w:rsid w:val="005C74C6"/>
    <w:rsid w:val="005C799A"/>
    <w:rsid w:val="005C7B4B"/>
    <w:rsid w:val="005C7BF8"/>
    <w:rsid w:val="005D02F6"/>
    <w:rsid w:val="005D02FF"/>
    <w:rsid w:val="005D03AE"/>
    <w:rsid w:val="005D0436"/>
    <w:rsid w:val="005D0674"/>
    <w:rsid w:val="005D0712"/>
    <w:rsid w:val="005D0E4E"/>
    <w:rsid w:val="005D0EB3"/>
    <w:rsid w:val="005D0EC6"/>
    <w:rsid w:val="005D117B"/>
    <w:rsid w:val="005D1C33"/>
    <w:rsid w:val="005D1DA5"/>
    <w:rsid w:val="005D2089"/>
    <w:rsid w:val="005D238A"/>
    <w:rsid w:val="005D261D"/>
    <w:rsid w:val="005D2693"/>
    <w:rsid w:val="005D328A"/>
    <w:rsid w:val="005D349A"/>
    <w:rsid w:val="005D387E"/>
    <w:rsid w:val="005D3CAD"/>
    <w:rsid w:val="005D3D1E"/>
    <w:rsid w:val="005D40C6"/>
    <w:rsid w:val="005D4481"/>
    <w:rsid w:val="005D45BE"/>
    <w:rsid w:val="005D495C"/>
    <w:rsid w:val="005D49CB"/>
    <w:rsid w:val="005D520D"/>
    <w:rsid w:val="005D53D2"/>
    <w:rsid w:val="005D6508"/>
    <w:rsid w:val="005D67E8"/>
    <w:rsid w:val="005D6861"/>
    <w:rsid w:val="005D6941"/>
    <w:rsid w:val="005D6AB4"/>
    <w:rsid w:val="005D6AE3"/>
    <w:rsid w:val="005D6C41"/>
    <w:rsid w:val="005D7516"/>
    <w:rsid w:val="005D75AC"/>
    <w:rsid w:val="005D7609"/>
    <w:rsid w:val="005D77F1"/>
    <w:rsid w:val="005D7FC4"/>
    <w:rsid w:val="005E002D"/>
    <w:rsid w:val="005E027D"/>
    <w:rsid w:val="005E02AB"/>
    <w:rsid w:val="005E02BE"/>
    <w:rsid w:val="005E05F2"/>
    <w:rsid w:val="005E06A4"/>
    <w:rsid w:val="005E0861"/>
    <w:rsid w:val="005E0F1A"/>
    <w:rsid w:val="005E109D"/>
    <w:rsid w:val="005E151D"/>
    <w:rsid w:val="005E1CB2"/>
    <w:rsid w:val="005E22A4"/>
    <w:rsid w:val="005E22A7"/>
    <w:rsid w:val="005E25AF"/>
    <w:rsid w:val="005E29BB"/>
    <w:rsid w:val="005E2B1C"/>
    <w:rsid w:val="005E2B49"/>
    <w:rsid w:val="005E2DE3"/>
    <w:rsid w:val="005E3277"/>
    <w:rsid w:val="005E3B68"/>
    <w:rsid w:val="005E3DE3"/>
    <w:rsid w:val="005E3E2F"/>
    <w:rsid w:val="005E3E95"/>
    <w:rsid w:val="005E4203"/>
    <w:rsid w:val="005E43C9"/>
    <w:rsid w:val="005E4509"/>
    <w:rsid w:val="005E4524"/>
    <w:rsid w:val="005E4DDB"/>
    <w:rsid w:val="005E502E"/>
    <w:rsid w:val="005E51FC"/>
    <w:rsid w:val="005E52CD"/>
    <w:rsid w:val="005E56F6"/>
    <w:rsid w:val="005E585B"/>
    <w:rsid w:val="005E5959"/>
    <w:rsid w:val="005E5A71"/>
    <w:rsid w:val="005E5CEC"/>
    <w:rsid w:val="005E606C"/>
    <w:rsid w:val="005E6600"/>
    <w:rsid w:val="005E6D53"/>
    <w:rsid w:val="005E708B"/>
    <w:rsid w:val="005E7345"/>
    <w:rsid w:val="005E7433"/>
    <w:rsid w:val="005E7814"/>
    <w:rsid w:val="005E7AC4"/>
    <w:rsid w:val="005E7BCA"/>
    <w:rsid w:val="005F027E"/>
    <w:rsid w:val="005F030C"/>
    <w:rsid w:val="005F0657"/>
    <w:rsid w:val="005F07A0"/>
    <w:rsid w:val="005F0A08"/>
    <w:rsid w:val="005F0A3E"/>
    <w:rsid w:val="005F0C33"/>
    <w:rsid w:val="005F1AE5"/>
    <w:rsid w:val="005F1C87"/>
    <w:rsid w:val="005F1DD0"/>
    <w:rsid w:val="005F245B"/>
    <w:rsid w:val="005F2694"/>
    <w:rsid w:val="005F285F"/>
    <w:rsid w:val="005F2B4B"/>
    <w:rsid w:val="005F2CB3"/>
    <w:rsid w:val="005F317A"/>
    <w:rsid w:val="005F337F"/>
    <w:rsid w:val="005F3CC0"/>
    <w:rsid w:val="005F3CCB"/>
    <w:rsid w:val="005F4214"/>
    <w:rsid w:val="005F43A2"/>
    <w:rsid w:val="005F4497"/>
    <w:rsid w:val="005F483C"/>
    <w:rsid w:val="005F4BA5"/>
    <w:rsid w:val="005F4D1D"/>
    <w:rsid w:val="005F54ED"/>
    <w:rsid w:val="005F550B"/>
    <w:rsid w:val="005F5622"/>
    <w:rsid w:val="005F58B9"/>
    <w:rsid w:val="005F5C95"/>
    <w:rsid w:val="005F5D63"/>
    <w:rsid w:val="005F5E0B"/>
    <w:rsid w:val="005F5E1F"/>
    <w:rsid w:val="005F63ED"/>
    <w:rsid w:val="005F6824"/>
    <w:rsid w:val="005F68EE"/>
    <w:rsid w:val="005F6BD4"/>
    <w:rsid w:val="005F73E6"/>
    <w:rsid w:val="005F73EE"/>
    <w:rsid w:val="005F7407"/>
    <w:rsid w:val="005F769E"/>
    <w:rsid w:val="005F79A1"/>
    <w:rsid w:val="005F7B0B"/>
    <w:rsid w:val="005F7C6A"/>
    <w:rsid w:val="00600384"/>
    <w:rsid w:val="0060064D"/>
    <w:rsid w:val="00600718"/>
    <w:rsid w:val="0060086C"/>
    <w:rsid w:val="00600B37"/>
    <w:rsid w:val="00600EF6"/>
    <w:rsid w:val="0060109A"/>
    <w:rsid w:val="0060118A"/>
    <w:rsid w:val="00601298"/>
    <w:rsid w:val="00601376"/>
    <w:rsid w:val="00601455"/>
    <w:rsid w:val="006014A5"/>
    <w:rsid w:val="006015D7"/>
    <w:rsid w:val="0060178E"/>
    <w:rsid w:val="00601D54"/>
    <w:rsid w:val="006023D9"/>
    <w:rsid w:val="0060250B"/>
    <w:rsid w:val="0060267C"/>
    <w:rsid w:val="00602C74"/>
    <w:rsid w:val="0060380E"/>
    <w:rsid w:val="00603D53"/>
    <w:rsid w:val="00603D5B"/>
    <w:rsid w:val="00603EAE"/>
    <w:rsid w:val="006041D7"/>
    <w:rsid w:val="00605066"/>
    <w:rsid w:val="006055FA"/>
    <w:rsid w:val="0060576A"/>
    <w:rsid w:val="0060578F"/>
    <w:rsid w:val="00605BA9"/>
    <w:rsid w:val="00605CEB"/>
    <w:rsid w:val="00606813"/>
    <w:rsid w:val="00606C41"/>
    <w:rsid w:val="00606EE9"/>
    <w:rsid w:val="00607078"/>
    <w:rsid w:val="006070AF"/>
    <w:rsid w:val="0060723A"/>
    <w:rsid w:val="006072C1"/>
    <w:rsid w:val="006074D5"/>
    <w:rsid w:val="006077E3"/>
    <w:rsid w:val="00607927"/>
    <w:rsid w:val="0061051D"/>
    <w:rsid w:val="00610588"/>
    <w:rsid w:val="006105EF"/>
    <w:rsid w:val="00610D1B"/>
    <w:rsid w:val="00610E4C"/>
    <w:rsid w:val="00611240"/>
    <w:rsid w:val="0061156C"/>
    <w:rsid w:val="006119F7"/>
    <w:rsid w:val="00611A20"/>
    <w:rsid w:val="00611A32"/>
    <w:rsid w:val="00611BF6"/>
    <w:rsid w:val="00611D87"/>
    <w:rsid w:val="00611FFF"/>
    <w:rsid w:val="00612323"/>
    <w:rsid w:val="00612919"/>
    <w:rsid w:val="00612E39"/>
    <w:rsid w:val="006130C5"/>
    <w:rsid w:val="006136BC"/>
    <w:rsid w:val="00613BCE"/>
    <w:rsid w:val="00614460"/>
    <w:rsid w:val="006145CD"/>
    <w:rsid w:val="00614871"/>
    <w:rsid w:val="00614A0B"/>
    <w:rsid w:val="00614AD1"/>
    <w:rsid w:val="006150D7"/>
    <w:rsid w:val="0061543B"/>
    <w:rsid w:val="00615A26"/>
    <w:rsid w:val="00615AEF"/>
    <w:rsid w:val="00615D7D"/>
    <w:rsid w:val="00615FEC"/>
    <w:rsid w:val="00616918"/>
    <w:rsid w:val="006169A0"/>
    <w:rsid w:val="006169BC"/>
    <w:rsid w:val="00616CD1"/>
    <w:rsid w:val="00616D9E"/>
    <w:rsid w:val="00616EDB"/>
    <w:rsid w:val="00617213"/>
    <w:rsid w:val="0061769B"/>
    <w:rsid w:val="00617746"/>
    <w:rsid w:val="006177C2"/>
    <w:rsid w:val="00617CAC"/>
    <w:rsid w:val="00617E95"/>
    <w:rsid w:val="0062053D"/>
    <w:rsid w:val="00620E0E"/>
    <w:rsid w:val="00620E28"/>
    <w:rsid w:val="00621254"/>
    <w:rsid w:val="006214C6"/>
    <w:rsid w:val="00621558"/>
    <w:rsid w:val="006215F6"/>
    <w:rsid w:val="0062175D"/>
    <w:rsid w:val="0062197A"/>
    <w:rsid w:val="00621C86"/>
    <w:rsid w:val="00621F21"/>
    <w:rsid w:val="00622630"/>
    <w:rsid w:val="00622943"/>
    <w:rsid w:val="00622EF2"/>
    <w:rsid w:val="00623514"/>
    <w:rsid w:val="006237F4"/>
    <w:rsid w:val="00623B1A"/>
    <w:rsid w:val="006243AB"/>
    <w:rsid w:val="0062450A"/>
    <w:rsid w:val="00624545"/>
    <w:rsid w:val="006246E4"/>
    <w:rsid w:val="00624783"/>
    <w:rsid w:val="006247FA"/>
    <w:rsid w:val="00624BC3"/>
    <w:rsid w:val="00624E29"/>
    <w:rsid w:val="00625085"/>
    <w:rsid w:val="0062558C"/>
    <w:rsid w:val="006255B0"/>
    <w:rsid w:val="0062590C"/>
    <w:rsid w:val="006259C6"/>
    <w:rsid w:val="00625B9E"/>
    <w:rsid w:val="006262A6"/>
    <w:rsid w:val="00626389"/>
    <w:rsid w:val="00626AC2"/>
    <w:rsid w:val="00626B0B"/>
    <w:rsid w:val="00626F1E"/>
    <w:rsid w:val="006271C7"/>
    <w:rsid w:val="006276B8"/>
    <w:rsid w:val="00627909"/>
    <w:rsid w:val="00627C9D"/>
    <w:rsid w:val="00627E55"/>
    <w:rsid w:val="006301E2"/>
    <w:rsid w:val="0063072B"/>
    <w:rsid w:val="0063073F"/>
    <w:rsid w:val="006307DC"/>
    <w:rsid w:val="00630878"/>
    <w:rsid w:val="00630A46"/>
    <w:rsid w:val="00630AE0"/>
    <w:rsid w:val="00630AF3"/>
    <w:rsid w:val="00630D8B"/>
    <w:rsid w:val="00630DEE"/>
    <w:rsid w:val="00631263"/>
    <w:rsid w:val="00631501"/>
    <w:rsid w:val="00631860"/>
    <w:rsid w:val="00631873"/>
    <w:rsid w:val="006318B6"/>
    <w:rsid w:val="006319D2"/>
    <w:rsid w:val="00631DFD"/>
    <w:rsid w:val="00631F72"/>
    <w:rsid w:val="0063216F"/>
    <w:rsid w:val="00632A9D"/>
    <w:rsid w:val="00632C65"/>
    <w:rsid w:val="00633123"/>
    <w:rsid w:val="0063316F"/>
    <w:rsid w:val="00633282"/>
    <w:rsid w:val="006339C3"/>
    <w:rsid w:val="00633A1E"/>
    <w:rsid w:val="00633B63"/>
    <w:rsid w:val="00633C44"/>
    <w:rsid w:val="00633C9E"/>
    <w:rsid w:val="00633CAD"/>
    <w:rsid w:val="00633DDE"/>
    <w:rsid w:val="00633E5C"/>
    <w:rsid w:val="00633EBF"/>
    <w:rsid w:val="00633F26"/>
    <w:rsid w:val="00633FA6"/>
    <w:rsid w:val="00634043"/>
    <w:rsid w:val="006340F7"/>
    <w:rsid w:val="00634506"/>
    <w:rsid w:val="0063463D"/>
    <w:rsid w:val="006347AE"/>
    <w:rsid w:val="00634AD0"/>
    <w:rsid w:val="00635290"/>
    <w:rsid w:val="006355C1"/>
    <w:rsid w:val="00636304"/>
    <w:rsid w:val="0063655E"/>
    <w:rsid w:val="00636A52"/>
    <w:rsid w:val="00636AB3"/>
    <w:rsid w:val="00636B18"/>
    <w:rsid w:val="00636EA8"/>
    <w:rsid w:val="006374D3"/>
    <w:rsid w:val="006375F8"/>
    <w:rsid w:val="00637A51"/>
    <w:rsid w:val="00637E9E"/>
    <w:rsid w:val="006400AF"/>
    <w:rsid w:val="00640102"/>
    <w:rsid w:val="00640497"/>
    <w:rsid w:val="0064052D"/>
    <w:rsid w:val="00640D55"/>
    <w:rsid w:val="00640DF6"/>
    <w:rsid w:val="00640F89"/>
    <w:rsid w:val="006410D1"/>
    <w:rsid w:val="00641118"/>
    <w:rsid w:val="00641411"/>
    <w:rsid w:val="00641604"/>
    <w:rsid w:val="00641CE8"/>
    <w:rsid w:val="00641D8B"/>
    <w:rsid w:val="00641E79"/>
    <w:rsid w:val="00642270"/>
    <w:rsid w:val="0064227C"/>
    <w:rsid w:val="00642825"/>
    <w:rsid w:val="0064284E"/>
    <w:rsid w:val="0064319F"/>
    <w:rsid w:val="006434CF"/>
    <w:rsid w:val="00643C68"/>
    <w:rsid w:val="00644796"/>
    <w:rsid w:val="00644BF0"/>
    <w:rsid w:val="00644C97"/>
    <w:rsid w:val="00644D4B"/>
    <w:rsid w:val="00645BF0"/>
    <w:rsid w:val="00645F76"/>
    <w:rsid w:val="0064642C"/>
    <w:rsid w:val="00646539"/>
    <w:rsid w:val="00646CE0"/>
    <w:rsid w:val="00647574"/>
    <w:rsid w:val="0064758E"/>
    <w:rsid w:val="0064764D"/>
    <w:rsid w:val="00647BCE"/>
    <w:rsid w:val="00647CD5"/>
    <w:rsid w:val="00647F07"/>
    <w:rsid w:val="00650098"/>
    <w:rsid w:val="00650113"/>
    <w:rsid w:val="006501FA"/>
    <w:rsid w:val="006502B6"/>
    <w:rsid w:val="006506A6"/>
    <w:rsid w:val="00650B36"/>
    <w:rsid w:val="00650EBB"/>
    <w:rsid w:val="006512F8"/>
    <w:rsid w:val="00651556"/>
    <w:rsid w:val="00651AED"/>
    <w:rsid w:val="00651F4A"/>
    <w:rsid w:val="00652530"/>
    <w:rsid w:val="006526A3"/>
    <w:rsid w:val="00652769"/>
    <w:rsid w:val="006527D5"/>
    <w:rsid w:val="00652909"/>
    <w:rsid w:val="00652D0C"/>
    <w:rsid w:val="00652F7B"/>
    <w:rsid w:val="0065385D"/>
    <w:rsid w:val="0065395B"/>
    <w:rsid w:val="00653CF4"/>
    <w:rsid w:val="00653EC6"/>
    <w:rsid w:val="00654140"/>
    <w:rsid w:val="0065419B"/>
    <w:rsid w:val="006542A4"/>
    <w:rsid w:val="006548E8"/>
    <w:rsid w:val="00654953"/>
    <w:rsid w:val="00654C7F"/>
    <w:rsid w:val="00654CF9"/>
    <w:rsid w:val="00654FB1"/>
    <w:rsid w:val="0065523F"/>
    <w:rsid w:val="00655980"/>
    <w:rsid w:val="00655D8C"/>
    <w:rsid w:val="00655F60"/>
    <w:rsid w:val="00656A00"/>
    <w:rsid w:val="00656B4A"/>
    <w:rsid w:val="00656BCB"/>
    <w:rsid w:val="00656C29"/>
    <w:rsid w:val="00656C7D"/>
    <w:rsid w:val="006573DD"/>
    <w:rsid w:val="006575BE"/>
    <w:rsid w:val="0065768D"/>
    <w:rsid w:val="006576F2"/>
    <w:rsid w:val="00657BD5"/>
    <w:rsid w:val="00657C60"/>
    <w:rsid w:val="006600B1"/>
    <w:rsid w:val="006601A4"/>
    <w:rsid w:val="006603E0"/>
    <w:rsid w:val="00660597"/>
    <w:rsid w:val="00660CA6"/>
    <w:rsid w:val="00660DD0"/>
    <w:rsid w:val="00660E06"/>
    <w:rsid w:val="00660F7C"/>
    <w:rsid w:val="00660FBE"/>
    <w:rsid w:val="0066123C"/>
    <w:rsid w:val="00661985"/>
    <w:rsid w:val="006620EE"/>
    <w:rsid w:val="0066235C"/>
    <w:rsid w:val="006623CC"/>
    <w:rsid w:val="00662874"/>
    <w:rsid w:val="00662E4C"/>
    <w:rsid w:val="00662F91"/>
    <w:rsid w:val="00663323"/>
    <w:rsid w:val="00663436"/>
    <w:rsid w:val="0066353D"/>
    <w:rsid w:val="006636CB"/>
    <w:rsid w:val="006639FC"/>
    <w:rsid w:val="00663D86"/>
    <w:rsid w:val="00664673"/>
    <w:rsid w:val="00664850"/>
    <w:rsid w:val="00664B0F"/>
    <w:rsid w:val="00664B7A"/>
    <w:rsid w:val="00664C0C"/>
    <w:rsid w:val="006651FF"/>
    <w:rsid w:val="006652F0"/>
    <w:rsid w:val="006654B3"/>
    <w:rsid w:val="0066558C"/>
    <w:rsid w:val="00665A05"/>
    <w:rsid w:val="00665A4A"/>
    <w:rsid w:val="00665A8A"/>
    <w:rsid w:val="0066655D"/>
    <w:rsid w:val="00666772"/>
    <w:rsid w:val="006667B2"/>
    <w:rsid w:val="00666E4F"/>
    <w:rsid w:val="0066707A"/>
    <w:rsid w:val="00667541"/>
    <w:rsid w:val="00667E6C"/>
    <w:rsid w:val="006701BF"/>
    <w:rsid w:val="00670C04"/>
    <w:rsid w:val="00670C47"/>
    <w:rsid w:val="00670C8F"/>
    <w:rsid w:val="00670DC3"/>
    <w:rsid w:val="0067149D"/>
    <w:rsid w:val="00671772"/>
    <w:rsid w:val="00672254"/>
    <w:rsid w:val="006722AD"/>
    <w:rsid w:val="00672591"/>
    <w:rsid w:val="00672B79"/>
    <w:rsid w:val="00673142"/>
    <w:rsid w:val="0067359D"/>
    <w:rsid w:val="00673B31"/>
    <w:rsid w:val="00673BEC"/>
    <w:rsid w:val="00673C2F"/>
    <w:rsid w:val="00673D1D"/>
    <w:rsid w:val="00673F7D"/>
    <w:rsid w:val="00674512"/>
    <w:rsid w:val="0067488E"/>
    <w:rsid w:val="00674A85"/>
    <w:rsid w:val="00674E77"/>
    <w:rsid w:val="00674F55"/>
    <w:rsid w:val="006751A1"/>
    <w:rsid w:val="0067529E"/>
    <w:rsid w:val="00675659"/>
    <w:rsid w:val="00675EBC"/>
    <w:rsid w:val="0067604B"/>
    <w:rsid w:val="00676091"/>
    <w:rsid w:val="006761DD"/>
    <w:rsid w:val="0067660F"/>
    <w:rsid w:val="00676CD8"/>
    <w:rsid w:val="00676F4F"/>
    <w:rsid w:val="00677140"/>
    <w:rsid w:val="006772D3"/>
    <w:rsid w:val="0067730C"/>
    <w:rsid w:val="00677460"/>
    <w:rsid w:val="006774F5"/>
    <w:rsid w:val="0067753B"/>
    <w:rsid w:val="00677706"/>
    <w:rsid w:val="006777FD"/>
    <w:rsid w:val="0067790B"/>
    <w:rsid w:val="00677C1A"/>
    <w:rsid w:val="00677E39"/>
    <w:rsid w:val="00677F42"/>
    <w:rsid w:val="00680072"/>
    <w:rsid w:val="0068030E"/>
    <w:rsid w:val="006805E7"/>
    <w:rsid w:val="00680A12"/>
    <w:rsid w:val="00680B1A"/>
    <w:rsid w:val="00680BF1"/>
    <w:rsid w:val="00680E25"/>
    <w:rsid w:val="00680E41"/>
    <w:rsid w:val="0068203C"/>
    <w:rsid w:val="00682049"/>
    <w:rsid w:val="006826FB"/>
    <w:rsid w:val="00682BFE"/>
    <w:rsid w:val="00682C87"/>
    <w:rsid w:val="00682F1B"/>
    <w:rsid w:val="00683269"/>
    <w:rsid w:val="00683C79"/>
    <w:rsid w:val="00683E11"/>
    <w:rsid w:val="0068482E"/>
    <w:rsid w:val="0068495B"/>
    <w:rsid w:val="00684B7A"/>
    <w:rsid w:val="00684C9C"/>
    <w:rsid w:val="00684D65"/>
    <w:rsid w:val="00684F4F"/>
    <w:rsid w:val="006850A1"/>
    <w:rsid w:val="0068510B"/>
    <w:rsid w:val="00685128"/>
    <w:rsid w:val="00685177"/>
    <w:rsid w:val="00685422"/>
    <w:rsid w:val="00686064"/>
    <w:rsid w:val="00686481"/>
    <w:rsid w:val="0068657C"/>
    <w:rsid w:val="006869D7"/>
    <w:rsid w:val="00686BCD"/>
    <w:rsid w:val="00687329"/>
    <w:rsid w:val="006874B2"/>
    <w:rsid w:val="00687A10"/>
    <w:rsid w:val="00687BAE"/>
    <w:rsid w:val="00687C85"/>
    <w:rsid w:val="00687F71"/>
    <w:rsid w:val="00690104"/>
    <w:rsid w:val="0069011C"/>
    <w:rsid w:val="006906C6"/>
    <w:rsid w:val="00690A99"/>
    <w:rsid w:val="00690AF5"/>
    <w:rsid w:val="00690F1D"/>
    <w:rsid w:val="006910B4"/>
    <w:rsid w:val="00691E04"/>
    <w:rsid w:val="00691EB5"/>
    <w:rsid w:val="00691F15"/>
    <w:rsid w:val="0069206B"/>
    <w:rsid w:val="00692678"/>
    <w:rsid w:val="0069292A"/>
    <w:rsid w:val="00692F96"/>
    <w:rsid w:val="00692F97"/>
    <w:rsid w:val="0069339B"/>
    <w:rsid w:val="00693547"/>
    <w:rsid w:val="006937CA"/>
    <w:rsid w:val="006937DB"/>
    <w:rsid w:val="00693EB1"/>
    <w:rsid w:val="00693F6C"/>
    <w:rsid w:val="0069415A"/>
    <w:rsid w:val="0069496C"/>
    <w:rsid w:val="006949C2"/>
    <w:rsid w:val="00694DA0"/>
    <w:rsid w:val="00694E33"/>
    <w:rsid w:val="0069567E"/>
    <w:rsid w:val="006956DC"/>
    <w:rsid w:val="0069576A"/>
    <w:rsid w:val="0069582B"/>
    <w:rsid w:val="006959A0"/>
    <w:rsid w:val="00695CE9"/>
    <w:rsid w:val="00695E2A"/>
    <w:rsid w:val="006962A6"/>
    <w:rsid w:val="0069639D"/>
    <w:rsid w:val="006963C7"/>
    <w:rsid w:val="0069647C"/>
    <w:rsid w:val="006964B6"/>
    <w:rsid w:val="00696702"/>
    <w:rsid w:val="00696DA7"/>
    <w:rsid w:val="00696E1E"/>
    <w:rsid w:val="006972CE"/>
    <w:rsid w:val="00697305"/>
    <w:rsid w:val="00697CAA"/>
    <w:rsid w:val="00697DB1"/>
    <w:rsid w:val="006A0102"/>
    <w:rsid w:val="006A02C3"/>
    <w:rsid w:val="006A05FE"/>
    <w:rsid w:val="006A0619"/>
    <w:rsid w:val="006A0AB0"/>
    <w:rsid w:val="006A0B50"/>
    <w:rsid w:val="006A0DB9"/>
    <w:rsid w:val="006A0E8D"/>
    <w:rsid w:val="006A1839"/>
    <w:rsid w:val="006A1983"/>
    <w:rsid w:val="006A1B24"/>
    <w:rsid w:val="006A1BA5"/>
    <w:rsid w:val="006A2047"/>
    <w:rsid w:val="006A25FD"/>
    <w:rsid w:val="006A26A3"/>
    <w:rsid w:val="006A2A4C"/>
    <w:rsid w:val="006A2B69"/>
    <w:rsid w:val="006A2E92"/>
    <w:rsid w:val="006A2F50"/>
    <w:rsid w:val="006A33F5"/>
    <w:rsid w:val="006A34E3"/>
    <w:rsid w:val="006A3E85"/>
    <w:rsid w:val="006A3FDA"/>
    <w:rsid w:val="006A45DD"/>
    <w:rsid w:val="006A4D4F"/>
    <w:rsid w:val="006A5021"/>
    <w:rsid w:val="006A5785"/>
    <w:rsid w:val="006A58BA"/>
    <w:rsid w:val="006A5AFB"/>
    <w:rsid w:val="006A6274"/>
    <w:rsid w:val="006A62EB"/>
    <w:rsid w:val="006A66A3"/>
    <w:rsid w:val="006A6809"/>
    <w:rsid w:val="006A6877"/>
    <w:rsid w:val="006A6DF6"/>
    <w:rsid w:val="006A6F95"/>
    <w:rsid w:val="006A6FA1"/>
    <w:rsid w:val="006A7131"/>
    <w:rsid w:val="006A71A6"/>
    <w:rsid w:val="006A7424"/>
    <w:rsid w:val="006A74CD"/>
    <w:rsid w:val="006A766F"/>
    <w:rsid w:val="006A7737"/>
    <w:rsid w:val="006A7AC5"/>
    <w:rsid w:val="006A7C8E"/>
    <w:rsid w:val="006A7D5C"/>
    <w:rsid w:val="006A7DCD"/>
    <w:rsid w:val="006B019F"/>
    <w:rsid w:val="006B04CE"/>
    <w:rsid w:val="006B0549"/>
    <w:rsid w:val="006B096F"/>
    <w:rsid w:val="006B0BAF"/>
    <w:rsid w:val="006B0E77"/>
    <w:rsid w:val="006B0F88"/>
    <w:rsid w:val="006B10E9"/>
    <w:rsid w:val="006B1182"/>
    <w:rsid w:val="006B123E"/>
    <w:rsid w:val="006B12C4"/>
    <w:rsid w:val="006B147F"/>
    <w:rsid w:val="006B1691"/>
    <w:rsid w:val="006B19E4"/>
    <w:rsid w:val="006B1DF3"/>
    <w:rsid w:val="006B21F0"/>
    <w:rsid w:val="006B230A"/>
    <w:rsid w:val="006B231E"/>
    <w:rsid w:val="006B2370"/>
    <w:rsid w:val="006B2558"/>
    <w:rsid w:val="006B2A75"/>
    <w:rsid w:val="006B2A9B"/>
    <w:rsid w:val="006B2B28"/>
    <w:rsid w:val="006B2D40"/>
    <w:rsid w:val="006B2D7D"/>
    <w:rsid w:val="006B3AB1"/>
    <w:rsid w:val="006B3C52"/>
    <w:rsid w:val="006B4ED8"/>
    <w:rsid w:val="006B50CD"/>
    <w:rsid w:val="006B5227"/>
    <w:rsid w:val="006B55AA"/>
    <w:rsid w:val="006B5827"/>
    <w:rsid w:val="006B5875"/>
    <w:rsid w:val="006B5895"/>
    <w:rsid w:val="006B5C31"/>
    <w:rsid w:val="006B5D08"/>
    <w:rsid w:val="006B6285"/>
    <w:rsid w:val="006B64D5"/>
    <w:rsid w:val="006B65EC"/>
    <w:rsid w:val="006B66AF"/>
    <w:rsid w:val="006B672F"/>
    <w:rsid w:val="006B6822"/>
    <w:rsid w:val="006B687B"/>
    <w:rsid w:val="006B6E27"/>
    <w:rsid w:val="006B7494"/>
    <w:rsid w:val="006B7535"/>
    <w:rsid w:val="006B7CF3"/>
    <w:rsid w:val="006C0691"/>
    <w:rsid w:val="006C0BD2"/>
    <w:rsid w:val="006C0DB9"/>
    <w:rsid w:val="006C136A"/>
    <w:rsid w:val="006C1527"/>
    <w:rsid w:val="006C1644"/>
    <w:rsid w:val="006C1722"/>
    <w:rsid w:val="006C17CF"/>
    <w:rsid w:val="006C1918"/>
    <w:rsid w:val="006C194C"/>
    <w:rsid w:val="006C1B3C"/>
    <w:rsid w:val="006C1B43"/>
    <w:rsid w:val="006C216A"/>
    <w:rsid w:val="006C2345"/>
    <w:rsid w:val="006C247D"/>
    <w:rsid w:val="006C28C2"/>
    <w:rsid w:val="006C28F3"/>
    <w:rsid w:val="006C2946"/>
    <w:rsid w:val="006C2BD0"/>
    <w:rsid w:val="006C2DED"/>
    <w:rsid w:val="006C2E94"/>
    <w:rsid w:val="006C3376"/>
    <w:rsid w:val="006C359F"/>
    <w:rsid w:val="006C37BA"/>
    <w:rsid w:val="006C3C02"/>
    <w:rsid w:val="006C3D70"/>
    <w:rsid w:val="006C3F99"/>
    <w:rsid w:val="006C4033"/>
    <w:rsid w:val="006C4140"/>
    <w:rsid w:val="006C4382"/>
    <w:rsid w:val="006C44BE"/>
    <w:rsid w:val="006C46EF"/>
    <w:rsid w:val="006C53CF"/>
    <w:rsid w:val="006C5439"/>
    <w:rsid w:val="006C5535"/>
    <w:rsid w:val="006C5766"/>
    <w:rsid w:val="006C59A0"/>
    <w:rsid w:val="006C5A37"/>
    <w:rsid w:val="006C5B73"/>
    <w:rsid w:val="006C5B82"/>
    <w:rsid w:val="006C5C14"/>
    <w:rsid w:val="006C5F6D"/>
    <w:rsid w:val="006C6164"/>
    <w:rsid w:val="006C6B0C"/>
    <w:rsid w:val="006C6D89"/>
    <w:rsid w:val="006C6F1B"/>
    <w:rsid w:val="006C6FE1"/>
    <w:rsid w:val="006C6FE6"/>
    <w:rsid w:val="006C70C5"/>
    <w:rsid w:val="006C7116"/>
    <w:rsid w:val="006C7163"/>
    <w:rsid w:val="006C75BC"/>
    <w:rsid w:val="006C75CC"/>
    <w:rsid w:val="006C7621"/>
    <w:rsid w:val="006C797E"/>
    <w:rsid w:val="006C7A0C"/>
    <w:rsid w:val="006C7AD3"/>
    <w:rsid w:val="006C7B44"/>
    <w:rsid w:val="006C7CD4"/>
    <w:rsid w:val="006D064B"/>
    <w:rsid w:val="006D0A85"/>
    <w:rsid w:val="006D0BF7"/>
    <w:rsid w:val="006D10B9"/>
    <w:rsid w:val="006D1365"/>
    <w:rsid w:val="006D1C4A"/>
    <w:rsid w:val="006D1E6A"/>
    <w:rsid w:val="006D1E77"/>
    <w:rsid w:val="006D2207"/>
    <w:rsid w:val="006D2988"/>
    <w:rsid w:val="006D2E60"/>
    <w:rsid w:val="006D34C4"/>
    <w:rsid w:val="006D356D"/>
    <w:rsid w:val="006D35A3"/>
    <w:rsid w:val="006D36DD"/>
    <w:rsid w:val="006D3773"/>
    <w:rsid w:val="006D3A1C"/>
    <w:rsid w:val="006D442F"/>
    <w:rsid w:val="006D44FA"/>
    <w:rsid w:val="006D4779"/>
    <w:rsid w:val="006D4888"/>
    <w:rsid w:val="006D48DA"/>
    <w:rsid w:val="006D52FC"/>
    <w:rsid w:val="006D5769"/>
    <w:rsid w:val="006D57A6"/>
    <w:rsid w:val="006D5B73"/>
    <w:rsid w:val="006D5BBB"/>
    <w:rsid w:val="006D5E6A"/>
    <w:rsid w:val="006D62F9"/>
    <w:rsid w:val="006D64A0"/>
    <w:rsid w:val="006D695A"/>
    <w:rsid w:val="006D6CA2"/>
    <w:rsid w:val="006D6CCD"/>
    <w:rsid w:val="006D7263"/>
    <w:rsid w:val="006D78AC"/>
    <w:rsid w:val="006D7C2C"/>
    <w:rsid w:val="006D7D3C"/>
    <w:rsid w:val="006D7F0D"/>
    <w:rsid w:val="006E044D"/>
    <w:rsid w:val="006E0660"/>
    <w:rsid w:val="006E08C6"/>
    <w:rsid w:val="006E0956"/>
    <w:rsid w:val="006E09AD"/>
    <w:rsid w:val="006E0D83"/>
    <w:rsid w:val="006E149A"/>
    <w:rsid w:val="006E14D9"/>
    <w:rsid w:val="006E1B41"/>
    <w:rsid w:val="006E1FD0"/>
    <w:rsid w:val="006E1FE9"/>
    <w:rsid w:val="006E2125"/>
    <w:rsid w:val="006E213E"/>
    <w:rsid w:val="006E2747"/>
    <w:rsid w:val="006E2EC6"/>
    <w:rsid w:val="006E2F84"/>
    <w:rsid w:val="006E3050"/>
    <w:rsid w:val="006E317D"/>
    <w:rsid w:val="006E31EA"/>
    <w:rsid w:val="006E36F2"/>
    <w:rsid w:val="006E3742"/>
    <w:rsid w:val="006E3BCF"/>
    <w:rsid w:val="006E3C0F"/>
    <w:rsid w:val="006E4141"/>
    <w:rsid w:val="006E450D"/>
    <w:rsid w:val="006E4B52"/>
    <w:rsid w:val="006E4BA3"/>
    <w:rsid w:val="006E4D2B"/>
    <w:rsid w:val="006E4FC8"/>
    <w:rsid w:val="006E4FCF"/>
    <w:rsid w:val="006E5050"/>
    <w:rsid w:val="006E50B3"/>
    <w:rsid w:val="006E55B4"/>
    <w:rsid w:val="006E570E"/>
    <w:rsid w:val="006E58F4"/>
    <w:rsid w:val="006E5B22"/>
    <w:rsid w:val="006E5DAE"/>
    <w:rsid w:val="006E6925"/>
    <w:rsid w:val="006E6AF7"/>
    <w:rsid w:val="006E6C9F"/>
    <w:rsid w:val="006E6E2B"/>
    <w:rsid w:val="006E704D"/>
    <w:rsid w:val="006E70D7"/>
    <w:rsid w:val="006E774A"/>
    <w:rsid w:val="006E7B47"/>
    <w:rsid w:val="006E7D59"/>
    <w:rsid w:val="006E7F9D"/>
    <w:rsid w:val="006F0032"/>
    <w:rsid w:val="006F0140"/>
    <w:rsid w:val="006F0280"/>
    <w:rsid w:val="006F0C61"/>
    <w:rsid w:val="006F0D03"/>
    <w:rsid w:val="006F0D9C"/>
    <w:rsid w:val="006F10A3"/>
    <w:rsid w:val="006F1E5F"/>
    <w:rsid w:val="006F2511"/>
    <w:rsid w:val="006F2741"/>
    <w:rsid w:val="006F2E53"/>
    <w:rsid w:val="006F2ECC"/>
    <w:rsid w:val="006F3478"/>
    <w:rsid w:val="006F3A0E"/>
    <w:rsid w:val="006F3AAA"/>
    <w:rsid w:val="006F3B1B"/>
    <w:rsid w:val="006F4360"/>
    <w:rsid w:val="006F4446"/>
    <w:rsid w:val="006F44DA"/>
    <w:rsid w:val="006F4545"/>
    <w:rsid w:val="006F4A06"/>
    <w:rsid w:val="006F4A4B"/>
    <w:rsid w:val="006F4D74"/>
    <w:rsid w:val="006F4DD4"/>
    <w:rsid w:val="006F5272"/>
    <w:rsid w:val="006F53F3"/>
    <w:rsid w:val="006F545A"/>
    <w:rsid w:val="006F5545"/>
    <w:rsid w:val="006F56F2"/>
    <w:rsid w:val="006F592E"/>
    <w:rsid w:val="006F5A40"/>
    <w:rsid w:val="006F5BDE"/>
    <w:rsid w:val="006F6300"/>
    <w:rsid w:val="006F6551"/>
    <w:rsid w:val="006F6813"/>
    <w:rsid w:val="006F68A9"/>
    <w:rsid w:val="006F6CA5"/>
    <w:rsid w:val="006F6D50"/>
    <w:rsid w:val="006F6E72"/>
    <w:rsid w:val="006F717F"/>
    <w:rsid w:val="006F7B84"/>
    <w:rsid w:val="006F7C62"/>
    <w:rsid w:val="007001AD"/>
    <w:rsid w:val="007005E7"/>
    <w:rsid w:val="00700BEB"/>
    <w:rsid w:val="007011CD"/>
    <w:rsid w:val="00701204"/>
    <w:rsid w:val="00701635"/>
    <w:rsid w:val="00701887"/>
    <w:rsid w:val="00701D3C"/>
    <w:rsid w:val="00701DE1"/>
    <w:rsid w:val="00701E40"/>
    <w:rsid w:val="00701F70"/>
    <w:rsid w:val="0070207D"/>
    <w:rsid w:val="007021F0"/>
    <w:rsid w:val="00702290"/>
    <w:rsid w:val="007024DC"/>
    <w:rsid w:val="00702B09"/>
    <w:rsid w:val="00702D9C"/>
    <w:rsid w:val="00702F02"/>
    <w:rsid w:val="0070319D"/>
    <w:rsid w:val="00703479"/>
    <w:rsid w:val="00703B15"/>
    <w:rsid w:val="00703BB0"/>
    <w:rsid w:val="00703DB9"/>
    <w:rsid w:val="00703E9B"/>
    <w:rsid w:val="00704124"/>
    <w:rsid w:val="00704242"/>
    <w:rsid w:val="007042D5"/>
    <w:rsid w:val="00704378"/>
    <w:rsid w:val="007046B2"/>
    <w:rsid w:val="007048B0"/>
    <w:rsid w:val="00704CF1"/>
    <w:rsid w:val="00704E6B"/>
    <w:rsid w:val="00704E70"/>
    <w:rsid w:val="007050FA"/>
    <w:rsid w:val="00705161"/>
    <w:rsid w:val="0070523A"/>
    <w:rsid w:val="00705533"/>
    <w:rsid w:val="007058F0"/>
    <w:rsid w:val="00705AB7"/>
    <w:rsid w:val="00705C7B"/>
    <w:rsid w:val="00705E1C"/>
    <w:rsid w:val="0070637C"/>
    <w:rsid w:val="007065EC"/>
    <w:rsid w:val="00706913"/>
    <w:rsid w:val="007069C5"/>
    <w:rsid w:val="00706D15"/>
    <w:rsid w:val="00706E4C"/>
    <w:rsid w:val="00707C95"/>
    <w:rsid w:val="00707CAC"/>
    <w:rsid w:val="00707F4D"/>
    <w:rsid w:val="007100B6"/>
    <w:rsid w:val="00710506"/>
    <w:rsid w:val="00710C60"/>
    <w:rsid w:val="00710C6A"/>
    <w:rsid w:val="00710E29"/>
    <w:rsid w:val="00710EFF"/>
    <w:rsid w:val="007116C3"/>
    <w:rsid w:val="00711EBB"/>
    <w:rsid w:val="00712210"/>
    <w:rsid w:val="00712BFA"/>
    <w:rsid w:val="0071366C"/>
    <w:rsid w:val="00713D06"/>
    <w:rsid w:val="00713F6F"/>
    <w:rsid w:val="00713FAC"/>
    <w:rsid w:val="007141A0"/>
    <w:rsid w:val="0071451F"/>
    <w:rsid w:val="0071458C"/>
    <w:rsid w:val="007145D6"/>
    <w:rsid w:val="007146E5"/>
    <w:rsid w:val="00714827"/>
    <w:rsid w:val="00714918"/>
    <w:rsid w:val="00714CB5"/>
    <w:rsid w:val="00714D44"/>
    <w:rsid w:val="00714EAD"/>
    <w:rsid w:val="00714EB0"/>
    <w:rsid w:val="00715348"/>
    <w:rsid w:val="0071561F"/>
    <w:rsid w:val="0071592D"/>
    <w:rsid w:val="00715A03"/>
    <w:rsid w:val="00715BE5"/>
    <w:rsid w:val="00716313"/>
    <w:rsid w:val="00716459"/>
    <w:rsid w:val="00716631"/>
    <w:rsid w:val="00716745"/>
    <w:rsid w:val="00716BDB"/>
    <w:rsid w:val="00716D55"/>
    <w:rsid w:val="007178CA"/>
    <w:rsid w:val="00717987"/>
    <w:rsid w:val="00717C1C"/>
    <w:rsid w:val="00717F7D"/>
    <w:rsid w:val="00720247"/>
    <w:rsid w:val="007204A2"/>
    <w:rsid w:val="0072052A"/>
    <w:rsid w:val="007206A9"/>
    <w:rsid w:val="007208FA"/>
    <w:rsid w:val="00720A7C"/>
    <w:rsid w:val="00720F7A"/>
    <w:rsid w:val="0072111E"/>
    <w:rsid w:val="00721296"/>
    <w:rsid w:val="0072133B"/>
    <w:rsid w:val="00721642"/>
    <w:rsid w:val="007216C4"/>
    <w:rsid w:val="007216D0"/>
    <w:rsid w:val="00721906"/>
    <w:rsid w:val="00721D96"/>
    <w:rsid w:val="00721E44"/>
    <w:rsid w:val="00721F20"/>
    <w:rsid w:val="00722188"/>
    <w:rsid w:val="00722286"/>
    <w:rsid w:val="0072236A"/>
    <w:rsid w:val="007224A0"/>
    <w:rsid w:val="007225E6"/>
    <w:rsid w:val="007225E8"/>
    <w:rsid w:val="007226D8"/>
    <w:rsid w:val="00722A14"/>
    <w:rsid w:val="00722AD6"/>
    <w:rsid w:val="00722C0B"/>
    <w:rsid w:val="00722EEC"/>
    <w:rsid w:val="007233FC"/>
    <w:rsid w:val="00723445"/>
    <w:rsid w:val="00723473"/>
    <w:rsid w:val="007234BD"/>
    <w:rsid w:val="00723533"/>
    <w:rsid w:val="00723A8A"/>
    <w:rsid w:val="00723B41"/>
    <w:rsid w:val="00723CBA"/>
    <w:rsid w:val="00723E38"/>
    <w:rsid w:val="00723FF5"/>
    <w:rsid w:val="007244AE"/>
    <w:rsid w:val="00724531"/>
    <w:rsid w:val="007245A6"/>
    <w:rsid w:val="007248A7"/>
    <w:rsid w:val="007248FF"/>
    <w:rsid w:val="00724B47"/>
    <w:rsid w:val="00724B8E"/>
    <w:rsid w:val="00724CA6"/>
    <w:rsid w:val="00724DC7"/>
    <w:rsid w:val="00724EBA"/>
    <w:rsid w:val="00724F33"/>
    <w:rsid w:val="00724F7A"/>
    <w:rsid w:val="00724F7C"/>
    <w:rsid w:val="007251D5"/>
    <w:rsid w:val="00725551"/>
    <w:rsid w:val="007258E1"/>
    <w:rsid w:val="00725998"/>
    <w:rsid w:val="00726161"/>
    <w:rsid w:val="00726556"/>
    <w:rsid w:val="0072671F"/>
    <w:rsid w:val="00726A10"/>
    <w:rsid w:val="00726B23"/>
    <w:rsid w:val="00726C9D"/>
    <w:rsid w:val="00726D7A"/>
    <w:rsid w:val="00726E12"/>
    <w:rsid w:val="00726F38"/>
    <w:rsid w:val="0072737F"/>
    <w:rsid w:val="00727615"/>
    <w:rsid w:val="007276F3"/>
    <w:rsid w:val="0072783D"/>
    <w:rsid w:val="0072785D"/>
    <w:rsid w:val="00727A91"/>
    <w:rsid w:val="00727FE9"/>
    <w:rsid w:val="00730820"/>
    <w:rsid w:val="007308C1"/>
    <w:rsid w:val="00730CE8"/>
    <w:rsid w:val="00730D82"/>
    <w:rsid w:val="0073107B"/>
    <w:rsid w:val="007310CD"/>
    <w:rsid w:val="007315BF"/>
    <w:rsid w:val="00731629"/>
    <w:rsid w:val="00731711"/>
    <w:rsid w:val="00731749"/>
    <w:rsid w:val="0073181D"/>
    <w:rsid w:val="00732043"/>
    <w:rsid w:val="007326E1"/>
    <w:rsid w:val="007333D0"/>
    <w:rsid w:val="007338A0"/>
    <w:rsid w:val="00733944"/>
    <w:rsid w:val="00733B36"/>
    <w:rsid w:val="00733D76"/>
    <w:rsid w:val="00733E3F"/>
    <w:rsid w:val="0073414C"/>
    <w:rsid w:val="0073423C"/>
    <w:rsid w:val="0073445C"/>
    <w:rsid w:val="007348EF"/>
    <w:rsid w:val="00734CF2"/>
    <w:rsid w:val="007351D4"/>
    <w:rsid w:val="00735490"/>
    <w:rsid w:val="00735648"/>
    <w:rsid w:val="0073587E"/>
    <w:rsid w:val="007359D2"/>
    <w:rsid w:val="00735D23"/>
    <w:rsid w:val="00736F16"/>
    <w:rsid w:val="00736F1F"/>
    <w:rsid w:val="00736FA6"/>
    <w:rsid w:val="00737792"/>
    <w:rsid w:val="00737A45"/>
    <w:rsid w:val="00737AAC"/>
    <w:rsid w:val="00737B2C"/>
    <w:rsid w:val="00737D27"/>
    <w:rsid w:val="00737F6A"/>
    <w:rsid w:val="00737FE6"/>
    <w:rsid w:val="007403D8"/>
    <w:rsid w:val="007405D9"/>
    <w:rsid w:val="00740666"/>
    <w:rsid w:val="007406A4"/>
    <w:rsid w:val="0074075C"/>
    <w:rsid w:val="00740919"/>
    <w:rsid w:val="00740B19"/>
    <w:rsid w:val="00740E42"/>
    <w:rsid w:val="00740FE8"/>
    <w:rsid w:val="00741078"/>
    <w:rsid w:val="007411F8"/>
    <w:rsid w:val="0074164F"/>
    <w:rsid w:val="00741822"/>
    <w:rsid w:val="007419FD"/>
    <w:rsid w:val="00741AA7"/>
    <w:rsid w:val="00741DBC"/>
    <w:rsid w:val="00741E58"/>
    <w:rsid w:val="007428D6"/>
    <w:rsid w:val="00742904"/>
    <w:rsid w:val="00742971"/>
    <w:rsid w:val="00743574"/>
    <w:rsid w:val="0074373E"/>
    <w:rsid w:val="00743A5C"/>
    <w:rsid w:val="00743A6D"/>
    <w:rsid w:val="00743B05"/>
    <w:rsid w:val="00743C13"/>
    <w:rsid w:val="00743F71"/>
    <w:rsid w:val="007442FE"/>
    <w:rsid w:val="00744474"/>
    <w:rsid w:val="00744553"/>
    <w:rsid w:val="00744630"/>
    <w:rsid w:val="00744C35"/>
    <w:rsid w:val="00744E63"/>
    <w:rsid w:val="0074500E"/>
    <w:rsid w:val="0074505E"/>
    <w:rsid w:val="00745111"/>
    <w:rsid w:val="0074523A"/>
    <w:rsid w:val="00745445"/>
    <w:rsid w:val="00745579"/>
    <w:rsid w:val="007459E5"/>
    <w:rsid w:val="00745AEB"/>
    <w:rsid w:val="00745BF9"/>
    <w:rsid w:val="00745F02"/>
    <w:rsid w:val="007460F8"/>
    <w:rsid w:val="00746290"/>
    <w:rsid w:val="0074796E"/>
    <w:rsid w:val="0074799A"/>
    <w:rsid w:val="00747CDD"/>
    <w:rsid w:val="00750096"/>
    <w:rsid w:val="00750689"/>
    <w:rsid w:val="007508E0"/>
    <w:rsid w:val="00750924"/>
    <w:rsid w:val="00750DB6"/>
    <w:rsid w:val="0075168E"/>
    <w:rsid w:val="007518BD"/>
    <w:rsid w:val="007518E5"/>
    <w:rsid w:val="00751B35"/>
    <w:rsid w:val="00752285"/>
    <w:rsid w:val="007523D2"/>
    <w:rsid w:val="00752680"/>
    <w:rsid w:val="00752CCB"/>
    <w:rsid w:val="00752CE3"/>
    <w:rsid w:val="00752CEE"/>
    <w:rsid w:val="00752EA4"/>
    <w:rsid w:val="007530A8"/>
    <w:rsid w:val="007538C2"/>
    <w:rsid w:val="00753BA2"/>
    <w:rsid w:val="00753F4A"/>
    <w:rsid w:val="0075411F"/>
    <w:rsid w:val="0075418D"/>
    <w:rsid w:val="00754F61"/>
    <w:rsid w:val="00755262"/>
    <w:rsid w:val="007553C7"/>
    <w:rsid w:val="0075606D"/>
    <w:rsid w:val="0075607A"/>
    <w:rsid w:val="007564E3"/>
    <w:rsid w:val="00756778"/>
    <w:rsid w:val="007569BE"/>
    <w:rsid w:val="00756DFF"/>
    <w:rsid w:val="00756E2D"/>
    <w:rsid w:val="007572C8"/>
    <w:rsid w:val="0075734F"/>
    <w:rsid w:val="00757788"/>
    <w:rsid w:val="00757C9B"/>
    <w:rsid w:val="00757D1D"/>
    <w:rsid w:val="0076005E"/>
    <w:rsid w:val="0076006B"/>
    <w:rsid w:val="0076064A"/>
    <w:rsid w:val="00760D3D"/>
    <w:rsid w:val="00760E7C"/>
    <w:rsid w:val="00761103"/>
    <w:rsid w:val="007612B6"/>
    <w:rsid w:val="007612DD"/>
    <w:rsid w:val="00761CC0"/>
    <w:rsid w:val="00761FC7"/>
    <w:rsid w:val="00762057"/>
    <w:rsid w:val="007620EE"/>
    <w:rsid w:val="0076258A"/>
    <w:rsid w:val="00762675"/>
    <w:rsid w:val="0076272A"/>
    <w:rsid w:val="0076273E"/>
    <w:rsid w:val="007627EB"/>
    <w:rsid w:val="007629FC"/>
    <w:rsid w:val="00762E01"/>
    <w:rsid w:val="0076306B"/>
    <w:rsid w:val="00763086"/>
    <w:rsid w:val="00763162"/>
    <w:rsid w:val="007631E4"/>
    <w:rsid w:val="00763586"/>
    <w:rsid w:val="00763E79"/>
    <w:rsid w:val="00763EC1"/>
    <w:rsid w:val="0076424A"/>
    <w:rsid w:val="0076457C"/>
    <w:rsid w:val="007645DB"/>
    <w:rsid w:val="0076460D"/>
    <w:rsid w:val="00764EB8"/>
    <w:rsid w:val="0076591B"/>
    <w:rsid w:val="00765C16"/>
    <w:rsid w:val="00765C71"/>
    <w:rsid w:val="007662EE"/>
    <w:rsid w:val="00766B5F"/>
    <w:rsid w:val="0076706E"/>
    <w:rsid w:val="007672D2"/>
    <w:rsid w:val="0076775B"/>
    <w:rsid w:val="007678E2"/>
    <w:rsid w:val="00767ACA"/>
    <w:rsid w:val="00767B65"/>
    <w:rsid w:val="00767E25"/>
    <w:rsid w:val="00770139"/>
    <w:rsid w:val="00770140"/>
    <w:rsid w:val="00770164"/>
    <w:rsid w:val="00770328"/>
    <w:rsid w:val="007719D7"/>
    <w:rsid w:val="00771D36"/>
    <w:rsid w:val="007726A2"/>
    <w:rsid w:val="007736B7"/>
    <w:rsid w:val="007737AD"/>
    <w:rsid w:val="00773BDC"/>
    <w:rsid w:val="00773DE4"/>
    <w:rsid w:val="00774122"/>
    <w:rsid w:val="0077422F"/>
    <w:rsid w:val="007748EE"/>
    <w:rsid w:val="00774965"/>
    <w:rsid w:val="00774AF4"/>
    <w:rsid w:val="00774B63"/>
    <w:rsid w:val="00774E76"/>
    <w:rsid w:val="0077509C"/>
    <w:rsid w:val="0077545C"/>
    <w:rsid w:val="007757FF"/>
    <w:rsid w:val="007758BD"/>
    <w:rsid w:val="00775B87"/>
    <w:rsid w:val="00775F44"/>
    <w:rsid w:val="0077646C"/>
    <w:rsid w:val="00776C3E"/>
    <w:rsid w:val="00776CFE"/>
    <w:rsid w:val="007778C7"/>
    <w:rsid w:val="00777D54"/>
    <w:rsid w:val="00777E85"/>
    <w:rsid w:val="007802CD"/>
    <w:rsid w:val="007804F2"/>
    <w:rsid w:val="00780632"/>
    <w:rsid w:val="007808EC"/>
    <w:rsid w:val="00780962"/>
    <w:rsid w:val="00780EF3"/>
    <w:rsid w:val="007810C1"/>
    <w:rsid w:val="00781111"/>
    <w:rsid w:val="00781326"/>
    <w:rsid w:val="0078148D"/>
    <w:rsid w:val="007818B5"/>
    <w:rsid w:val="00781F0A"/>
    <w:rsid w:val="00781FF3"/>
    <w:rsid w:val="007820B0"/>
    <w:rsid w:val="0078235E"/>
    <w:rsid w:val="00782362"/>
    <w:rsid w:val="007823AC"/>
    <w:rsid w:val="00782681"/>
    <w:rsid w:val="007829D7"/>
    <w:rsid w:val="00782E92"/>
    <w:rsid w:val="00782F03"/>
    <w:rsid w:val="00783009"/>
    <w:rsid w:val="0078306D"/>
    <w:rsid w:val="00783196"/>
    <w:rsid w:val="0078389C"/>
    <w:rsid w:val="00783BEA"/>
    <w:rsid w:val="00784265"/>
    <w:rsid w:val="00784559"/>
    <w:rsid w:val="00784770"/>
    <w:rsid w:val="0078498A"/>
    <w:rsid w:val="00784ECE"/>
    <w:rsid w:val="00784F54"/>
    <w:rsid w:val="00785095"/>
    <w:rsid w:val="007851A8"/>
    <w:rsid w:val="007853E2"/>
    <w:rsid w:val="00785B57"/>
    <w:rsid w:val="007861D7"/>
    <w:rsid w:val="00786683"/>
    <w:rsid w:val="007867F8"/>
    <w:rsid w:val="00786CE4"/>
    <w:rsid w:val="00786D62"/>
    <w:rsid w:val="00787830"/>
    <w:rsid w:val="00787997"/>
    <w:rsid w:val="00787AF0"/>
    <w:rsid w:val="00787B20"/>
    <w:rsid w:val="007900C8"/>
    <w:rsid w:val="0079014C"/>
    <w:rsid w:val="00790851"/>
    <w:rsid w:val="007909E6"/>
    <w:rsid w:val="00790AAE"/>
    <w:rsid w:val="0079102E"/>
    <w:rsid w:val="00791217"/>
    <w:rsid w:val="0079142C"/>
    <w:rsid w:val="007916F7"/>
    <w:rsid w:val="007917B8"/>
    <w:rsid w:val="007920AE"/>
    <w:rsid w:val="00792653"/>
    <w:rsid w:val="007926FC"/>
    <w:rsid w:val="00793053"/>
    <w:rsid w:val="00793074"/>
    <w:rsid w:val="007934B1"/>
    <w:rsid w:val="00793C65"/>
    <w:rsid w:val="00793CB3"/>
    <w:rsid w:val="00793DF7"/>
    <w:rsid w:val="00793E86"/>
    <w:rsid w:val="00794142"/>
    <w:rsid w:val="007941CD"/>
    <w:rsid w:val="007944FB"/>
    <w:rsid w:val="0079521F"/>
    <w:rsid w:val="00795690"/>
    <w:rsid w:val="0079570D"/>
    <w:rsid w:val="00795799"/>
    <w:rsid w:val="007958D7"/>
    <w:rsid w:val="00795B8B"/>
    <w:rsid w:val="00795CE2"/>
    <w:rsid w:val="00795DB5"/>
    <w:rsid w:val="007962B4"/>
    <w:rsid w:val="007963E7"/>
    <w:rsid w:val="0079646E"/>
    <w:rsid w:val="00796C51"/>
    <w:rsid w:val="00796D8D"/>
    <w:rsid w:val="00796DFD"/>
    <w:rsid w:val="0079731B"/>
    <w:rsid w:val="007975E4"/>
    <w:rsid w:val="00797ABF"/>
    <w:rsid w:val="007A0102"/>
    <w:rsid w:val="007A04B7"/>
    <w:rsid w:val="007A0D4B"/>
    <w:rsid w:val="007A1243"/>
    <w:rsid w:val="007A1AAE"/>
    <w:rsid w:val="007A1B34"/>
    <w:rsid w:val="007A1E8E"/>
    <w:rsid w:val="007A205E"/>
    <w:rsid w:val="007A2616"/>
    <w:rsid w:val="007A2625"/>
    <w:rsid w:val="007A2981"/>
    <w:rsid w:val="007A29C2"/>
    <w:rsid w:val="007A2C94"/>
    <w:rsid w:val="007A2CF8"/>
    <w:rsid w:val="007A2F6C"/>
    <w:rsid w:val="007A33F6"/>
    <w:rsid w:val="007A3BCD"/>
    <w:rsid w:val="007A3CE7"/>
    <w:rsid w:val="007A3D28"/>
    <w:rsid w:val="007A3F10"/>
    <w:rsid w:val="007A4049"/>
    <w:rsid w:val="007A428F"/>
    <w:rsid w:val="007A489B"/>
    <w:rsid w:val="007A5186"/>
    <w:rsid w:val="007A51E8"/>
    <w:rsid w:val="007A5505"/>
    <w:rsid w:val="007A5A49"/>
    <w:rsid w:val="007A5EA3"/>
    <w:rsid w:val="007A6720"/>
    <w:rsid w:val="007A6977"/>
    <w:rsid w:val="007A6D75"/>
    <w:rsid w:val="007A6E50"/>
    <w:rsid w:val="007A6F8A"/>
    <w:rsid w:val="007A70BE"/>
    <w:rsid w:val="007A77C3"/>
    <w:rsid w:val="007A7829"/>
    <w:rsid w:val="007B07F9"/>
    <w:rsid w:val="007B08DF"/>
    <w:rsid w:val="007B0B55"/>
    <w:rsid w:val="007B0B61"/>
    <w:rsid w:val="007B0B6B"/>
    <w:rsid w:val="007B11DD"/>
    <w:rsid w:val="007B16CA"/>
    <w:rsid w:val="007B204B"/>
    <w:rsid w:val="007B20EB"/>
    <w:rsid w:val="007B2414"/>
    <w:rsid w:val="007B28F4"/>
    <w:rsid w:val="007B2928"/>
    <w:rsid w:val="007B2C6F"/>
    <w:rsid w:val="007B31CF"/>
    <w:rsid w:val="007B32FB"/>
    <w:rsid w:val="007B34F7"/>
    <w:rsid w:val="007B3698"/>
    <w:rsid w:val="007B3B0B"/>
    <w:rsid w:val="007B3CE2"/>
    <w:rsid w:val="007B3E38"/>
    <w:rsid w:val="007B492D"/>
    <w:rsid w:val="007B4942"/>
    <w:rsid w:val="007B4A5E"/>
    <w:rsid w:val="007B4E3C"/>
    <w:rsid w:val="007B5075"/>
    <w:rsid w:val="007B5196"/>
    <w:rsid w:val="007B57CA"/>
    <w:rsid w:val="007B59FC"/>
    <w:rsid w:val="007B5CD7"/>
    <w:rsid w:val="007B5F1F"/>
    <w:rsid w:val="007B61A0"/>
    <w:rsid w:val="007B630A"/>
    <w:rsid w:val="007B6430"/>
    <w:rsid w:val="007B65AE"/>
    <w:rsid w:val="007B6888"/>
    <w:rsid w:val="007B6C0F"/>
    <w:rsid w:val="007B7664"/>
    <w:rsid w:val="007B76AC"/>
    <w:rsid w:val="007B77FA"/>
    <w:rsid w:val="007B7D26"/>
    <w:rsid w:val="007B7E1C"/>
    <w:rsid w:val="007B7F30"/>
    <w:rsid w:val="007C09C6"/>
    <w:rsid w:val="007C0A55"/>
    <w:rsid w:val="007C0D93"/>
    <w:rsid w:val="007C100F"/>
    <w:rsid w:val="007C1294"/>
    <w:rsid w:val="007C1427"/>
    <w:rsid w:val="007C1523"/>
    <w:rsid w:val="007C1738"/>
    <w:rsid w:val="007C1800"/>
    <w:rsid w:val="007C1A37"/>
    <w:rsid w:val="007C1BE7"/>
    <w:rsid w:val="007C1C05"/>
    <w:rsid w:val="007C1DD6"/>
    <w:rsid w:val="007C1FA8"/>
    <w:rsid w:val="007C2531"/>
    <w:rsid w:val="007C26C5"/>
    <w:rsid w:val="007C2BB9"/>
    <w:rsid w:val="007C2BC1"/>
    <w:rsid w:val="007C315D"/>
    <w:rsid w:val="007C31FD"/>
    <w:rsid w:val="007C365E"/>
    <w:rsid w:val="007C38AB"/>
    <w:rsid w:val="007C3A16"/>
    <w:rsid w:val="007C47A3"/>
    <w:rsid w:val="007C4972"/>
    <w:rsid w:val="007C4F61"/>
    <w:rsid w:val="007C5624"/>
    <w:rsid w:val="007C5672"/>
    <w:rsid w:val="007C59EC"/>
    <w:rsid w:val="007C5BAE"/>
    <w:rsid w:val="007C5C6B"/>
    <w:rsid w:val="007C616A"/>
    <w:rsid w:val="007C6220"/>
    <w:rsid w:val="007C622D"/>
    <w:rsid w:val="007C633A"/>
    <w:rsid w:val="007C669F"/>
    <w:rsid w:val="007C6777"/>
    <w:rsid w:val="007C696F"/>
    <w:rsid w:val="007C6E62"/>
    <w:rsid w:val="007C724C"/>
    <w:rsid w:val="007C72EF"/>
    <w:rsid w:val="007C76B8"/>
    <w:rsid w:val="007C78F7"/>
    <w:rsid w:val="007D01C7"/>
    <w:rsid w:val="007D0512"/>
    <w:rsid w:val="007D0F15"/>
    <w:rsid w:val="007D1155"/>
    <w:rsid w:val="007D14E8"/>
    <w:rsid w:val="007D15DA"/>
    <w:rsid w:val="007D1630"/>
    <w:rsid w:val="007D16C1"/>
    <w:rsid w:val="007D1817"/>
    <w:rsid w:val="007D1AE9"/>
    <w:rsid w:val="007D1F90"/>
    <w:rsid w:val="007D1FDD"/>
    <w:rsid w:val="007D23B3"/>
    <w:rsid w:val="007D24CE"/>
    <w:rsid w:val="007D25CA"/>
    <w:rsid w:val="007D2999"/>
    <w:rsid w:val="007D2A6B"/>
    <w:rsid w:val="007D2D3D"/>
    <w:rsid w:val="007D2E84"/>
    <w:rsid w:val="007D2FE4"/>
    <w:rsid w:val="007D31FB"/>
    <w:rsid w:val="007D32E4"/>
    <w:rsid w:val="007D3457"/>
    <w:rsid w:val="007D3BB8"/>
    <w:rsid w:val="007D3E26"/>
    <w:rsid w:val="007D3EE3"/>
    <w:rsid w:val="007D426D"/>
    <w:rsid w:val="007D4477"/>
    <w:rsid w:val="007D5815"/>
    <w:rsid w:val="007D5887"/>
    <w:rsid w:val="007D59D4"/>
    <w:rsid w:val="007D5A62"/>
    <w:rsid w:val="007D5B62"/>
    <w:rsid w:val="007D5B9A"/>
    <w:rsid w:val="007D6003"/>
    <w:rsid w:val="007D65D0"/>
    <w:rsid w:val="007D7086"/>
    <w:rsid w:val="007D70F9"/>
    <w:rsid w:val="007D7388"/>
    <w:rsid w:val="007D7D11"/>
    <w:rsid w:val="007D7F71"/>
    <w:rsid w:val="007D7F9E"/>
    <w:rsid w:val="007E0B1C"/>
    <w:rsid w:val="007E0DFA"/>
    <w:rsid w:val="007E14ED"/>
    <w:rsid w:val="007E1C31"/>
    <w:rsid w:val="007E1CF7"/>
    <w:rsid w:val="007E20D4"/>
    <w:rsid w:val="007E23F1"/>
    <w:rsid w:val="007E2CF1"/>
    <w:rsid w:val="007E3178"/>
    <w:rsid w:val="007E3A9A"/>
    <w:rsid w:val="007E406F"/>
    <w:rsid w:val="007E43A7"/>
    <w:rsid w:val="007E478B"/>
    <w:rsid w:val="007E4E8F"/>
    <w:rsid w:val="007E5274"/>
    <w:rsid w:val="007E5AC8"/>
    <w:rsid w:val="007E6255"/>
    <w:rsid w:val="007E6425"/>
    <w:rsid w:val="007E6926"/>
    <w:rsid w:val="007E6C24"/>
    <w:rsid w:val="007E6C7A"/>
    <w:rsid w:val="007E74CA"/>
    <w:rsid w:val="007E7815"/>
    <w:rsid w:val="007E79CA"/>
    <w:rsid w:val="007E7BD6"/>
    <w:rsid w:val="007F0C3C"/>
    <w:rsid w:val="007F10B0"/>
    <w:rsid w:val="007F147C"/>
    <w:rsid w:val="007F1C74"/>
    <w:rsid w:val="007F1ED7"/>
    <w:rsid w:val="007F2575"/>
    <w:rsid w:val="007F2948"/>
    <w:rsid w:val="007F2DED"/>
    <w:rsid w:val="007F2F02"/>
    <w:rsid w:val="007F3164"/>
    <w:rsid w:val="007F317E"/>
    <w:rsid w:val="007F3BE4"/>
    <w:rsid w:val="007F3DDF"/>
    <w:rsid w:val="007F412A"/>
    <w:rsid w:val="007F41B9"/>
    <w:rsid w:val="007F426E"/>
    <w:rsid w:val="007F4435"/>
    <w:rsid w:val="007F456D"/>
    <w:rsid w:val="007F45E7"/>
    <w:rsid w:val="007F4764"/>
    <w:rsid w:val="007F4997"/>
    <w:rsid w:val="007F4A84"/>
    <w:rsid w:val="007F4D69"/>
    <w:rsid w:val="007F53EF"/>
    <w:rsid w:val="007F54D0"/>
    <w:rsid w:val="007F58F9"/>
    <w:rsid w:val="007F5F83"/>
    <w:rsid w:val="007F618A"/>
    <w:rsid w:val="007F6480"/>
    <w:rsid w:val="007F6728"/>
    <w:rsid w:val="007F687B"/>
    <w:rsid w:val="007F6996"/>
    <w:rsid w:val="007F6F5E"/>
    <w:rsid w:val="007F7283"/>
    <w:rsid w:val="007F7991"/>
    <w:rsid w:val="007F79DA"/>
    <w:rsid w:val="007F7CCD"/>
    <w:rsid w:val="007F7D2F"/>
    <w:rsid w:val="00800B28"/>
    <w:rsid w:val="00800B6B"/>
    <w:rsid w:val="00800DA0"/>
    <w:rsid w:val="00800F4D"/>
    <w:rsid w:val="008016D1"/>
    <w:rsid w:val="00802579"/>
    <w:rsid w:val="008025AC"/>
    <w:rsid w:val="00802771"/>
    <w:rsid w:val="008028E9"/>
    <w:rsid w:val="00802A71"/>
    <w:rsid w:val="00802C8E"/>
    <w:rsid w:val="00802E06"/>
    <w:rsid w:val="0080321F"/>
    <w:rsid w:val="0080324C"/>
    <w:rsid w:val="00803425"/>
    <w:rsid w:val="008034F0"/>
    <w:rsid w:val="00803AB9"/>
    <w:rsid w:val="00803C09"/>
    <w:rsid w:val="00803D66"/>
    <w:rsid w:val="008047BE"/>
    <w:rsid w:val="00804A6B"/>
    <w:rsid w:val="00804FDB"/>
    <w:rsid w:val="0080500A"/>
    <w:rsid w:val="00805585"/>
    <w:rsid w:val="00805C1B"/>
    <w:rsid w:val="00805DD0"/>
    <w:rsid w:val="008061F2"/>
    <w:rsid w:val="00806505"/>
    <w:rsid w:val="008065B7"/>
    <w:rsid w:val="00806D6A"/>
    <w:rsid w:val="00806E8E"/>
    <w:rsid w:val="008070E7"/>
    <w:rsid w:val="0080732C"/>
    <w:rsid w:val="008100DE"/>
    <w:rsid w:val="0081026D"/>
    <w:rsid w:val="00810400"/>
    <w:rsid w:val="00810782"/>
    <w:rsid w:val="008107B2"/>
    <w:rsid w:val="008109D1"/>
    <w:rsid w:val="00810B55"/>
    <w:rsid w:val="0081193A"/>
    <w:rsid w:val="008119ED"/>
    <w:rsid w:val="00811F98"/>
    <w:rsid w:val="008121E6"/>
    <w:rsid w:val="00812295"/>
    <w:rsid w:val="0081239E"/>
    <w:rsid w:val="00812583"/>
    <w:rsid w:val="00812851"/>
    <w:rsid w:val="00812BB7"/>
    <w:rsid w:val="00812E5F"/>
    <w:rsid w:val="00813047"/>
    <w:rsid w:val="00813376"/>
    <w:rsid w:val="00813745"/>
    <w:rsid w:val="00813962"/>
    <w:rsid w:val="00813E5D"/>
    <w:rsid w:val="00814122"/>
    <w:rsid w:val="00814DF1"/>
    <w:rsid w:val="00815066"/>
    <w:rsid w:val="008150A6"/>
    <w:rsid w:val="008153D3"/>
    <w:rsid w:val="00815BEA"/>
    <w:rsid w:val="00815CA4"/>
    <w:rsid w:val="00815D05"/>
    <w:rsid w:val="0081600D"/>
    <w:rsid w:val="008165E8"/>
    <w:rsid w:val="0081680F"/>
    <w:rsid w:val="0081716C"/>
    <w:rsid w:val="00817227"/>
    <w:rsid w:val="00817BF1"/>
    <w:rsid w:val="00817D34"/>
    <w:rsid w:val="00817F91"/>
    <w:rsid w:val="008200D4"/>
    <w:rsid w:val="00820289"/>
    <w:rsid w:val="0082059F"/>
    <w:rsid w:val="008205CD"/>
    <w:rsid w:val="00820A0C"/>
    <w:rsid w:val="00820ABF"/>
    <w:rsid w:val="00821239"/>
    <w:rsid w:val="00821762"/>
    <w:rsid w:val="0082188F"/>
    <w:rsid w:val="0082204F"/>
    <w:rsid w:val="008223E6"/>
    <w:rsid w:val="00822D76"/>
    <w:rsid w:val="00822E82"/>
    <w:rsid w:val="00822F40"/>
    <w:rsid w:val="00823266"/>
    <w:rsid w:val="008232C6"/>
    <w:rsid w:val="008233A5"/>
    <w:rsid w:val="0082365D"/>
    <w:rsid w:val="008237AC"/>
    <w:rsid w:val="00823BD3"/>
    <w:rsid w:val="00823EBA"/>
    <w:rsid w:val="008243B6"/>
    <w:rsid w:val="0082464F"/>
    <w:rsid w:val="00824868"/>
    <w:rsid w:val="0082491F"/>
    <w:rsid w:val="00824C67"/>
    <w:rsid w:val="00825076"/>
    <w:rsid w:val="00825B6A"/>
    <w:rsid w:val="00825C0D"/>
    <w:rsid w:val="00825C69"/>
    <w:rsid w:val="00825E4A"/>
    <w:rsid w:val="00826057"/>
    <w:rsid w:val="00826116"/>
    <w:rsid w:val="0082655B"/>
    <w:rsid w:val="00827075"/>
    <w:rsid w:val="008270E4"/>
    <w:rsid w:val="00827520"/>
    <w:rsid w:val="008275BF"/>
    <w:rsid w:val="008277F0"/>
    <w:rsid w:val="0082785E"/>
    <w:rsid w:val="00827DD3"/>
    <w:rsid w:val="00827F3F"/>
    <w:rsid w:val="00827F79"/>
    <w:rsid w:val="00830181"/>
    <w:rsid w:val="0083054F"/>
    <w:rsid w:val="0083088F"/>
    <w:rsid w:val="008308F9"/>
    <w:rsid w:val="008309AB"/>
    <w:rsid w:val="00830CCA"/>
    <w:rsid w:val="0083154B"/>
    <w:rsid w:val="0083157F"/>
    <w:rsid w:val="00831623"/>
    <w:rsid w:val="00831D9C"/>
    <w:rsid w:val="008322AB"/>
    <w:rsid w:val="008322CB"/>
    <w:rsid w:val="00832408"/>
    <w:rsid w:val="00832591"/>
    <w:rsid w:val="008325A2"/>
    <w:rsid w:val="00832757"/>
    <w:rsid w:val="00832A54"/>
    <w:rsid w:val="00832F52"/>
    <w:rsid w:val="00833023"/>
    <w:rsid w:val="00833363"/>
    <w:rsid w:val="00833512"/>
    <w:rsid w:val="0083355D"/>
    <w:rsid w:val="0083377E"/>
    <w:rsid w:val="00834585"/>
    <w:rsid w:val="008347AD"/>
    <w:rsid w:val="0083490A"/>
    <w:rsid w:val="00834A37"/>
    <w:rsid w:val="00834B4F"/>
    <w:rsid w:val="00834EC5"/>
    <w:rsid w:val="00835888"/>
    <w:rsid w:val="00835D57"/>
    <w:rsid w:val="0083653F"/>
    <w:rsid w:val="00836A4D"/>
    <w:rsid w:val="00836A88"/>
    <w:rsid w:val="00836E85"/>
    <w:rsid w:val="00837173"/>
    <w:rsid w:val="008373D5"/>
    <w:rsid w:val="008374BA"/>
    <w:rsid w:val="00837635"/>
    <w:rsid w:val="00837864"/>
    <w:rsid w:val="008379E6"/>
    <w:rsid w:val="00837C5D"/>
    <w:rsid w:val="00837F42"/>
    <w:rsid w:val="00837F98"/>
    <w:rsid w:val="00837FAA"/>
    <w:rsid w:val="008407C9"/>
    <w:rsid w:val="00841269"/>
    <w:rsid w:val="00841AC1"/>
    <w:rsid w:val="00841D7A"/>
    <w:rsid w:val="00841DD3"/>
    <w:rsid w:val="00842176"/>
    <w:rsid w:val="00842221"/>
    <w:rsid w:val="00842242"/>
    <w:rsid w:val="008424EA"/>
    <w:rsid w:val="00842752"/>
    <w:rsid w:val="00842812"/>
    <w:rsid w:val="00842993"/>
    <w:rsid w:val="00842E9F"/>
    <w:rsid w:val="00843049"/>
    <w:rsid w:val="00843139"/>
    <w:rsid w:val="008431E5"/>
    <w:rsid w:val="0084326F"/>
    <w:rsid w:val="00843511"/>
    <w:rsid w:val="00843B12"/>
    <w:rsid w:val="00844085"/>
    <w:rsid w:val="008448AE"/>
    <w:rsid w:val="00844939"/>
    <w:rsid w:val="00844EC9"/>
    <w:rsid w:val="008453F0"/>
    <w:rsid w:val="008455B8"/>
    <w:rsid w:val="00845AD3"/>
    <w:rsid w:val="00845CC1"/>
    <w:rsid w:val="00845EFA"/>
    <w:rsid w:val="0084613F"/>
    <w:rsid w:val="008467AA"/>
    <w:rsid w:val="008468FA"/>
    <w:rsid w:val="0084690A"/>
    <w:rsid w:val="00846A64"/>
    <w:rsid w:val="008470B9"/>
    <w:rsid w:val="0084743B"/>
    <w:rsid w:val="00847ED3"/>
    <w:rsid w:val="0085003B"/>
    <w:rsid w:val="00850184"/>
    <w:rsid w:val="008501FA"/>
    <w:rsid w:val="00850CFF"/>
    <w:rsid w:val="00850DD2"/>
    <w:rsid w:val="008510A8"/>
    <w:rsid w:val="0085160E"/>
    <w:rsid w:val="008517F0"/>
    <w:rsid w:val="008519C1"/>
    <w:rsid w:val="008519C4"/>
    <w:rsid w:val="00851BBB"/>
    <w:rsid w:val="008523B5"/>
    <w:rsid w:val="00852413"/>
    <w:rsid w:val="008524B1"/>
    <w:rsid w:val="00852B10"/>
    <w:rsid w:val="00852BEC"/>
    <w:rsid w:val="00852D36"/>
    <w:rsid w:val="0085331D"/>
    <w:rsid w:val="008535B5"/>
    <w:rsid w:val="008536A1"/>
    <w:rsid w:val="00853826"/>
    <w:rsid w:val="00853A64"/>
    <w:rsid w:val="00853AE2"/>
    <w:rsid w:val="00853F31"/>
    <w:rsid w:val="00853FD1"/>
    <w:rsid w:val="008541D1"/>
    <w:rsid w:val="008547AE"/>
    <w:rsid w:val="008547BE"/>
    <w:rsid w:val="00854C75"/>
    <w:rsid w:val="00855291"/>
    <w:rsid w:val="00855495"/>
    <w:rsid w:val="00855966"/>
    <w:rsid w:val="00855CD6"/>
    <w:rsid w:val="008561B9"/>
    <w:rsid w:val="008561C5"/>
    <w:rsid w:val="00856352"/>
    <w:rsid w:val="008564B8"/>
    <w:rsid w:val="0085672E"/>
    <w:rsid w:val="00856A6C"/>
    <w:rsid w:val="00856B08"/>
    <w:rsid w:val="008574B4"/>
    <w:rsid w:val="0085765D"/>
    <w:rsid w:val="00857918"/>
    <w:rsid w:val="00857CE1"/>
    <w:rsid w:val="008602B2"/>
    <w:rsid w:val="00860612"/>
    <w:rsid w:val="008606C9"/>
    <w:rsid w:val="0086147C"/>
    <w:rsid w:val="00861F5F"/>
    <w:rsid w:val="00862659"/>
    <w:rsid w:val="008626A8"/>
    <w:rsid w:val="00862B36"/>
    <w:rsid w:val="00862D91"/>
    <w:rsid w:val="00863028"/>
    <w:rsid w:val="008634CC"/>
    <w:rsid w:val="00863517"/>
    <w:rsid w:val="00863708"/>
    <w:rsid w:val="00863CB6"/>
    <w:rsid w:val="00863E3E"/>
    <w:rsid w:val="00863FC0"/>
    <w:rsid w:val="008643A1"/>
    <w:rsid w:val="0086462C"/>
    <w:rsid w:val="00864812"/>
    <w:rsid w:val="00864854"/>
    <w:rsid w:val="00864944"/>
    <w:rsid w:val="00864991"/>
    <w:rsid w:val="00864C04"/>
    <w:rsid w:val="00864C71"/>
    <w:rsid w:val="00864D04"/>
    <w:rsid w:val="0086524C"/>
    <w:rsid w:val="00865412"/>
    <w:rsid w:val="00865557"/>
    <w:rsid w:val="00865708"/>
    <w:rsid w:val="00865BBD"/>
    <w:rsid w:val="00865C0A"/>
    <w:rsid w:val="00866025"/>
    <w:rsid w:val="008665CF"/>
    <w:rsid w:val="00866907"/>
    <w:rsid w:val="00866B81"/>
    <w:rsid w:val="0086735E"/>
    <w:rsid w:val="008678AE"/>
    <w:rsid w:val="00867952"/>
    <w:rsid w:val="008679E9"/>
    <w:rsid w:val="00867CBA"/>
    <w:rsid w:val="00867F84"/>
    <w:rsid w:val="008701E0"/>
    <w:rsid w:val="00870EB7"/>
    <w:rsid w:val="008710C3"/>
    <w:rsid w:val="00871182"/>
    <w:rsid w:val="00871413"/>
    <w:rsid w:val="00871C56"/>
    <w:rsid w:val="0087225E"/>
    <w:rsid w:val="00872346"/>
    <w:rsid w:val="00872369"/>
    <w:rsid w:val="00872566"/>
    <w:rsid w:val="0087270F"/>
    <w:rsid w:val="0087273F"/>
    <w:rsid w:val="008727CF"/>
    <w:rsid w:val="008727D4"/>
    <w:rsid w:val="008727E7"/>
    <w:rsid w:val="008727F1"/>
    <w:rsid w:val="0087308C"/>
    <w:rsid w:val="00873270"/>
    <w:rsid w:val="00873354"/>
    <w:rsid w:val="0087342A"/>
    <w:rsid w:val="00873604"/>
    <w:rsid w:val="00873EB7"/>
    <w:rsid w:val="00873FEA"/>
    <w:rsid w:val="008741E1"/>
    <w:rsid w:val="0087457D"/>
    <w:rsid w:val="0087458F"/>
    <w:rsid w:val="0087480E"/>
    <w:rsid w:val="00875232"/>
    <w:rsid w:val="008753C3"/>
    <w:rsid w:val="0087548B"/>
    <w:rsid w:val="0087561A"/>
    <w:rsid w:val="008760FA"/>
    <w:rsid w:val="0087622E"/>
    <w:rsid w:val="00876892"/>
    <w:rsid w:val="00876986"/>
    <w:rsid w:val="008779F2"/>
    <w:rsid w:val="00877C23"/>
    <w:rsid w:val="00877D3A"/>
    <w:rsid w:val="00880008"/>
    <w:rsid w:val="0088040F"/>
    <w:rsid w:val="00881046"/>
    <w:rsid w:val="00881157"/>
    <w:rsid w:val="00881386"/>
    <w:rsid w:val="00881700"/>
    <w:rsid w:val="00881D63"/>
    <w:rsid w:val="00881E3A"/>
    <w:rsid w:val="008820B7"/>
    <w:rsid w:val="00882DD6"/>
    <w:rsid w:val="00882E06"/>
    <w:rsid w:val="00883184"/>
    <w:rsid w:val="00883480"/>
    <w:rsid w:val="00883804"/>
    <w:rsid w:val="0088387B"/>
    <w:rsid w:val="00883A59"/>
    <w:rsid w:val="00883B94"/>
    <w:rsid w:val="00883BA1"/>
    <w:rsid w:val="00883BCE"/>
    <w:rsid w:val="00883BE1"/>
    <w:rsid w:val="00883BF7"/>
    <w:rsid w:val="00884264"/>
    <w:rsid w:val="0088426C"/>
    <w:rsid w:val="008849CD"/>
    <w:rsid w:val="00884B5A"/>
    <w:rsid w:val="008851F6"/>
    <w:rsid w:val="0088537E"/>
    <w:rsid w:val="00885448"/>
    <w:rsid w:val="00885791"/>
    <w:rsid w:val="00885997"/>
    <w:rsid w:val="0088618E"/>
    <w:rsid w:val="00886868"/>
    <w:rsid w:val="00886CE0"/>
    <w:rsid w:val="00886E5F"/>
    <w:rsid w:val="008870F2"/>
    <w:rsid w:val="0088747D"/>
    <w:rsid w:val="00887997"/>
    <w:rsid w:val="00887E12"/>
    <w:rsid w:val="00887F55"/>
    <w:rsid w:val="00887F69"/>
    <w:rsid w:val="00890199"/>
    <w:rsid w:val="00890701"/>
    <w:rsid w:val="00890CA0"/>
    <w:rsid w:val="00890E47"/>
    <w:rsid w:val="00890FF6"/>
    <w:rsid w:val="008910B9"/>
    <w:rsid w:val="00891317"/>
    <w:rsid w:val="008913D0"/>
    <w:rsid w:val="00891A93"/>
    <w:rsid w:val="00891A9A"/>
    <w:rsid w:val="00891C48"/>
    <w:rsid w:val="00891D34"/>
    <w:rsid w:val="0089208D"/>
    <w:rsid w:val="00892792"/>
    <w:rsid w:val="00892A2C"/>
    <w:rsid w:val="00892AB8"/>
    <w:rsid w:val="00892C93"/>
    <w:rsid w:val="00892E8A"/>
    <w:rsid w:val="00892E9D"/>
    <w:rsid w:val="00892FED"/>
    <w:rsid w:val="00893384"/>
    <w:rsid w:val="00893839"/>
    <w:rsid w:val="008938E2"/>
    <w:rsid w:val="00893AD6"/>
    <w:rsid w:val="00893E70"/>
    <w:rsid w:val="00893E95"/>
    <w:rsid w:val="00894280"/>
    <w:rsid w:val="00894416"/>
    <w:rsid w:val="00894446"/>
    <w:rsid w:val="008948F0"/>
    <w:rsid w:val="00894B1D"/>
    <w:rsid w:val="0089537C"/>
    <w:rsid w:val="008958E5"/>
    <w:rsid w:val="00895A69"/>
    <w:rsid w:val="00896188"/>
    <w:rsid w:val="00896484"/>
    <w:rsid w:val="008964A5"/>
    <w:rsid w:val="00896A30"/>
    <w:rsid w:val="00897133"/>
    <w:rsid w:val="00897182"/>
    <w:rsid w:val="008971B5"/>
    <w:rsid w:val="00897221"/>
    <w:rsid w:val="00897237"/>
    <w:rsid w:val="008975BB"/>
    <w:rsid w:val="00897836"/>
    <w:rsid w:val="008978A4"/>
    <w:rsid w:val="008979BC"/>
    <w:rsid w:val="00897D2C"/>
    <w:rsid w:val="00897E62"/>
    <w:rsid w:val="008A02A1"/>
    <w:rsid w:val="008A0D46"/>
    <w:rsid w:val="008A0D6A"/>
    <w:rsid w:val="008A10C0"/>
    <w:rsid w:val="008A1377"/>
    <w:rsid w:val="008A15A5"/>
    <w:rsid w:val="008A1903"/>
    <w:rsid w:val="008A19BB"/>
    <w:rsid w:val="008A1C49"/>
    <w:rsid w:val="008A2035"/>
    <w:rsid w:val="008A2084"/>
    <w:rsid w:val="008A2B00"/>
    <w:rsid w:val="008A2B78"/>
    <w:rsid w:val="008A2C5C"/>
    <w:rsid w:val="008A2F16"/>
    <w:rsid w:val="008A2F52"/>
    <w:rsid w:val="008A389C"/>
    <w:rsid w:val="008A3968"/>
    <w:rsid w:val="008A3A29"/>
    <w:rsid w:val="008A3D78"/>
    <w:rsid w:val="008A3DB5"/>
    <w:rsid w:val="008A3E24"/>
    <w:rsid w:val="008A3F7A"/>
    <w:rsid w:val="008A420F"/>
    <w:rsid w:val="008A42F8"/>
    <w:rsid w:val="008A4D83"/>
    <w:rsid w:val="008A4E36"/>
    <w:rsid w:val="008A50BC"/>
    <w:rsid w:val="008A5666"/>
    <w:rsid w:val="008A5909"/>
    <w:rsid w:val="008A5C59"/>
    <w:rsid w:val="008A5CDB"/>
    <w:rsid w:val="008A5F42"/>
    <w:rsid w:val="008A5F50"/>
    <w:rsid w:val="008A6263"/>
    <w:rsid w:val="008A6318"/>
    <w:rsid w:val="008A65B8"/>
    <w:rsid w:val="008A6953"/>
    <w:rsid w:val="008A7078"/>
    <w:rsid w:val="008A707C"/>
    <w:rsid w:val="008A7497"/>
    <w:rsid w:val="008A7630"/>
    <w:rsid w:val="008A785E"/>
    <w:rsid w:val="008A794C"/>
    <w:rsid w:val="008B1747"/>
    <w:rsid w:val="008B1A23"/>
    <w:rsid w:val="008B1AA0"/>
    <w:rsid w:val="008B1C90"/>
    <w:rsid w:val="008B1D98"/>
    <w:rsid w:val="008B2620"/>
    <w:rsid w:val="008B2AE9"/>
    <w:rsid w:val="008B32E8"/>
    <w:rsid w:val="008B3499"/>
    <w:rsid w:val="008B3B96"/>
    <w:rsid w:val="008B3E38"/>
    <w:rsid w:val="008B40C8"/>
    <w:rsid w:val="008B411F"/>
    <w:rsid w:val="008B4E03"/>
    <w:rsid w:val="008B50A2"/>
    <w:rsid w:val="008B521F"/>
    <w:rsid w:val="008B5594"/>
    <w:rsid w:val="008B55FE"/>
    <w:rsid w:val="008B5720"/>
    <w:rsid w:val="008B5783"/>
    <w:rsid w:val="008B5F77"/>
    <w:rsid w:val="008B6860"/>
    <w:rsid w:val="008B693A"/>
    <w:rsid w:val="008B7269"/>
    <w:rsid w:val="008B7300"/>
    <w:rsid w:val="008B7334"/>
    <w:rsid w:val="008B76D4"/>
    <w:rsid w:val="008B7988"/>
    <w:rsid w:val="008B7E50"/>
    <w:rsid w:val="008C0849"/>
    <w:rsid w:val="008C088E"/>
    <w:rsid w:val="008C08D8"/>
    <w:rsid w:val="008C09FC"/>
    <w:rsid w:val="008C0A31"/>
    <w:rsid w:val="008C0AC3"/>
    <w:rsid w:val="008C1467"/>
    <w:rsid w:val="008C18FB"/>
    <w:rsid w:val="008C1E7B"/>
    <w:rsid w:val="008C29D3"/>
    <w:rsid w:val="008C31A6"/>
    <w:rsid w:val="008C370A"/>
    <w:rsid w:val="008C3744"/>
    <w:rsid w:val="008C3799"/>
    <w:rsid w:val="008C38D8"/>
    <w:rsid w:val="008C3911"/>
    <w:rsid w:val="008C3A18"/>
    <w:rsid w:val="008C478D"/>
    <w:rsid w:val="008C498B"/>
    <w:rsid w:val="008C4DF6"/>
    <w:rsid w:val="008C4F9E"/>
    <w:rsid w:val="008C537C"/>
    <w:rsid w:val="008C5750"/>
    <w:rsid w:val="008C5793"/>
    <w:rsid w:val="008C5A27"/>
    <w:rsid w:val="008C5ABA"/>
    <w:rsid w:val="008C5AC0"/>
    <w:rsid w:val="008C5DF4"/>
    <w:rsid w:val="008C5E08"/>
    <w:rsid w:val="008C5E23"/>
    <w:rsid w:val="008C5F2F"/>
    <w:rsid w:val="008C60AC"/>
    <w:rsid w:val="008C61B5"/>
    <w:rsid w:val="008C624C"/>
    <w:rsid w:val="008C6476"/>
    <w:rsid w:val="008C662D"/>
    <w:rsid w:val="008C6943"/>
    <w:rsid w:val="008C6D04"/>
    <w:rsid w:val="008C7017"/>
    <w:rsid w:val="008C729E"/>
    <w:rsid w:val="008C759F"/>
    <w:rsid w:val="008C7BAF"/>
    <w:rsid w:val="008C7EB4"/>
    <w:rsid w:val="008D0344"/>
    <w:rsid w:val="008D0834"/>
    <w:rsid w:val="008D0A36"/>
    <w:rsid w:val="008D15D0"/>
    <w:rsid w:val="008D18EB"/>
    <w:rsid w:val="008D1F86"/>
    <w:rsid w:val="008D1FCC"/>
    <w:rsid w:val="008D21CE"/>
    <w:rsid w:val="008D2761"/>
    <w:rsid w:val="008D2770"/>
    <w:rsid w:val="008D30CE"/>
    <w:rsid w:val="008D351B"/>
    <w:rsid w:val="008D3520"/>
    <w:rsid w:val="008D3650"/>
    <w:rsid w:val="008D3CEA"/>
    <w:rsid w:val="008D3D6F"/>
    <w:rsid w:val="008D4221"/>
    <w:rsid w:val="008D4322"/>
    <w:rsid w:val="008D446A"/>
    <w:rsid w:val="008D4836"/>
    <w:rsid w:val="008D4A6D"/>
    <w:rsid w:val="008D4D38"/>
    <w:rsid w:val="008D5555"/>
    <w:rsid w:val="008D58B2"/>
    <w:rsid w:val="008D61D9"/>
    <w:rsid w:val="008D63BC"/>
    <w:rsid w:val="008D67C8"/>
    <w:rsid w:val="008D6A1F"/>
    <w:rsid w:val="008D6C4E"/>
    <w:rsid w:val="008D737D"/>
    <w:rsid w:val="008D73AF"/>
    <w:rsid w:val="008D74E2"/>
    <w:rsid w:val="008D7597"/>
    <w:rsid w:val="008D7790"/>
    <w:rsid w:val="008D77AB"/>
    <w:rsid w:val="008E0916"/>
    <w:rsid w:val="008E0D8A"/>
    <w:rsid w:val="008E1187"/>
    <w:rsid w:val="008E1276"/>
    <w:rsid w:val="008E1370"/>
    <w:rsid w:val="008E1AEA"/>
    <w:rsid w:val="008E204D"/>
    <w:rsid w:val="008E21AB"/>
    <w:rsid w:val="008E231A"/>
    <w:rsid w:val="008E2931"/>
    <w:rsid w:val="008E2CB2"/>
    <w:rsid w:val="008E31E5"/>
    <w:rsid w:val="008E3348"/>
    <w:rsid w:val="008E34E3"/>
    <w:rsid w:val="008E3A4C"/>
    <w:rsid w:val="008E3AD3"/>
    <w:rsid w:val="008E3E21"/>
    <w:rsid w:val="008E3EE4"/>
    <w:rsid w:val="008E416C"/>
    <w:rsid w:val="008E481B"/>
    <w:rsid w:val="008E4CD8"/>
    <w:rsid w:val="008E55B2"/>
    <w:rsid w:val="008E5F85"/>
    <w:rsid w:val="008E639B"/>
    <w:rsid w:val="008E689F"/>
    <w:rsid w:val="008E6AA9"/>
    <w:rsid w:val="008E6C61"/>
    <w:rsid w:val="008E6EE6"/>
    <w:rsid w:val="008E72CF"/>
    <w:rsid w:val="008E73AF"/>
    <w:rsid w:val="008E7506"/>
    <w:rsid w:val="008E75A1"/>
    <w:rsid w:val="008E772D"/>
    <w:rsid w:val="008E79C5"/>
    <w:rsid w:val="008E7B61"/>
    <w:rsid w:val="008E7FD9"/>
    <w:rsid w:val="008F0423"/>
    <w:rsid w:val="008F07D2"/>
    <w:rsid w:val="008F0CEF"/>
    <w:rsid w:val="008F0EF6"/>
    <w:rsid w:val="008F0FBF"/>
    <w:rsid w:val="008F129C"/>
    <w:rsid w:val="008F1820"/>
    <w:rsid w:val="008F186D"/>
    <w:rsid w:val="008F1904"/>
    <w:rsid w:val="008F1CCE"/>
    <w:rsid w:val="008F1D0B"/>
    <w:rsid w:val="008F1E8C"/>
    <w:rsid w:val="008F25C7"/>
    <w:rsid w:val="008F29C3"/>
    <w:rsid w:val="008F2ACB"/>
    <w:rsid w:val="008F2F7A"/>
    <w:rsid w:val="008F2FCD"/>
    <w:rsid w:val="008F33FE"/>
    <w:rsid w:val="008F4A9C"/>
    <w:rsid w:val="008F4CD4"/>
    <w:rsid w:val="008F516B"/>
    <w:rsid w:val="008F5B22"/>
    <w:rsid w:val="008F5C2C"/>
    <w:rsid w:val="008F5E26"/>
    <w:rsid w:val="008F6090"/>
    <w:rsid w:val="008F6140"/>
    <w:rsid w:val="008F644E"/>
    <w:rsid w:val="008F67AA"/>
    <w:rsid w:val="008F6825"/>
    <w:rsid w:val="008F7270"/>
    <w:rsid w:val="008F75C7"/>
    <w:rsid w:val="008F7631"/>
    <w:rsid w:val="008F7F2A"/>
    <w:rsid w:val="0090025C"/>
    <w:rsid w:val="009002A4"/>
    <w:rsid w:val="00900321"/>
    <w:rsid w:val="0090042F"/>
    <w:rsid w:val="0090083D"/>
    <w:rsid w:val="00900D61"/>
    <w:rsid w:val="0090126F"/>
    <w:rsid w:val="00901284"/>
    <w:rsid w:val="00901409"/>
    <w:rsid w:val="00901A98"/>
    <w:rsid w:val="00901C9E"/>
    <w:rsid w:val="00901CB8"/>
    <w:rsid w:val="00901D79"/>
    <w:rsid w:val="00901ED0"/>
    <w:rsid w:val="009022F5"/>
    <w:rsid w:val="00902315"/>
    <w:rsid w:val="0090271F"/>
    <w:rsid w:val="0090273A"/>
    <w:rsid w:val="009028C1"/>
    <w:rsid w:val="00902D27"/>
    <w:rsid w:val="00902F74"/>
    <w:rsid w:val="00903286"/>
    <w:rsid w:val="0090353D"/>
    <w:rsid w:val="00903A46"/>
    <w:rsid w:val="00903BE6"/>
    <w:rsid w:val="00903C56"/>
    <w:rsid w:val="00903F0F"/>
    <w:rsid w:val="00904275"/>
    <w:rsid w:val="00904399"/>
    <w:rsid w:val="0090485D"/>
    <w:rsid w:val="00904BB2"/>
    <w:rsid w:val="0090513D"/>
    <w:rsid w:val="009058AB"/>
    <w:rsid w:val="00905B17"/>
    <w:rsid w:val="00905D2C"/>
    <w:rsid w:val="009062BA"/>
    <w:rsid w:val="00906800"/>
    <w:rsid w:val="00906B16"/>
    <w:rsid w:val="00906B94"/>
    <w:rsid w:val="00907013"/>
    <w:rsid w:val="00907035"/>
    <w:rsid w:val="009074FE"/>
    <w:rsid w:val="009075B1"/>
    <w:rsid w:val="009076D3"/>
    <w:rsid w:val="00907821"/>
    <w:rsid w:val="00907B0F"/>
    <w:rsid w:val="00907B2E"/>
    <w:rsid w:val="00907D81"/>
    <w:rsid w:val="00907E3C"/>
    <w:rsid w:val="00907F32"/>
    <w:rsid w:val="009101F5"/>
    <w:rsid w:val="00910306"/>
    <w:rsid w:val="0091054D"/>
    <w:rsid w:val="00910D81"/>
    <w:rsid w:val="00911412"/>
    <w:rsid w:val="0091144A"/>
    <w:rsid w:val="00911ECD"/>
    <w:rsid w:val="00911EE2"/>
    <w:rsid w:val="00911FA8"/>
    <w:rsid w:val="00912356"/>
    <w:rsid w:val="0091285C"/>
    <w:rsid w:val="00912C19"/>
    <w:rsid w:val="00912CF9"/>
    <w:rsid w:val="00912E0C"/>
    <w:rsid w:val="00913021"/>
    <w:rsid w:val="00913703"/>
    <w:rsid w:val="00913D90"/>
    <w:rsid w:val="00913EC5"/>
    <w:rsid w:val="009142B8"/>
    <w:rsid w:val="00914369"/>
    <w:rsid w:val="009143A6"/>
    <w:rsid w:val="00914413"/>
    <w:rsid w:val="00914985"/>
    <w:rsid w:val="00914CDC"/>
    <w:rsid w:val="009153D6"/>
    <w:rsid w:val="0091565A"/>
    <w:rsid w:val="00915B80"/>
    <w:rsid w:val="00915C71"/>
    <w:rsid w:val="00915D8E"/>
    <w:rsid w:val="00915E51"/>
    <w:rsid w:val="00916139"/>
    <w:rsid w:val="00916181"/>
    <w:rsid w:val="009161CA"/>
    <w:rsid w:val="00916398"/>
    <w:rsid w:val="00916BBC"/>
    <w:rsid w:val="00916E42"/>
    <w:rsid w:val="00916EBA"/>
    <w:rsid w:val="00917195"/>
    <w:rsid w:val="00917322"/>
    <w:rsid w:val="0091732D"/>
    <w:rsid w:val="0091767F"/>
    <w:rsid w:val="009176A6"/>
    <w:rsid w:val="009201DB"/>
    <w:rsid w:val="00920820"/>
    <w:rsid w:val="00920B72"/>
    <w:rsid w:val="00920E4B"/>
    <w:rsid w:val="009212A9"/>
    <w:rsid w:val="00921729"/>
    <w:rsid w:val="00921774"/>
    <w:rsid w:val="00921CDF"/>
    <w:rsid w:val="00921FA5"/>
    <w:rsid w:val="00922053"/>
    <w:rsid w:val="00922791"/>
    <w:rsid w:val="0092279E"/>
    <w:rsid w:val="009227D1"/>
    <w:rsid w:val="00922F82"/>
    <w:rsid w:val="00922FBA"/>
    <w:rsid w:val="00923539"/>
    <w:rsid w:val="009238D9"/>
    <w:rsid w:val="00923CA7"/>
    <w:rsid w:val="00923D47"/>
    <w:rsid w:val="0092412F"/>
    <w:rsid w:val="009242D9"/>
    <w:rsid w:val="00925018"/>
    <w:rsid w:val="009258B0"/>
    <w:rsid w:val="00925B00"/>
    <w:rsid w:val="00925D03"/>
    <w:rsid w:val="00925E49"/>
    <w:rsid w:val="0092605B"/>
    <w:rsid w:val="00926F57"/>
    <w:rsid w:val="00927058"/>
    <w:rsid w:val="0092706B"/>
    <w:rsid w:val="00927203"/>
    <w:rsid w:val="0092798C"/>
    <w:rsid w:val="00927C07"/>
    <w:rsid w:val="0093006C"/>
    <w:rsid w:val="00930080"/>
    <w:rsid w:val="0093025F"/>
    <w:rsid w:val="00930476"/>
    <w:rsid w:val="009304C2"/>
    <w:rsid w:val="00930737"/>
    <w:rsid w:val="0093079D"/>
    <w:rsid w:val="009307F0"/>
    <w:rsid w:val="00930BBE"/>
    <w:rsid w:val="00931085"/>
    <w:rsid w:val="009311F9"/>
    <w:rsid w:val="00931388"/>
    <w:rsid w:val="009313BA"/>
    <w:rsid w:val="009316B7"/>
    <w:rsid w:val="009322BE"/>
    <w:rsid w:val="00932BCC"/>
    <w:rsid w:val="00932C22"/>
    <w:rsid w:val="00933126"/>
    <w:rsid w:val="009331B5"/>
    <w:rsid w:val="0093347F"/>
    <w:rsid w:val="00933A82"/>
    <w:rsid w:val="00934082"/>
    <w:rsid w:val="0093467A"/>
    <w:rsid w:val="00934C2A"/>
    <w:rsid w:val="00934E61"/>
    <w:rsid w:val="0093503D"/>
    <w:rsid w:val="00935063"/>
    <w:rsid w:val="009350E4"/>
    <w:rsid w:val="009352ED"/>
    <w:rsid w:val="00935870"/>
    <w:rsid w:val="00935DFF"/>
    <w:rsid w:val="009362AA"/>
    <w:rsid w:val="0093696F"/>
    <w:rsid w:val="00936AC6"/>
    <w:rsid w:val="00936B81"/>
    <w:rsid w:val="00936CF4"/>
    <w:rsid w:val="00936D77"/>
    <w:rsid w:val="0093701B"/>
    <w:rsid w:val="009370AC"/>
    <w:rsid w:val="009401A0"/>
    <w:rsid w:val="0094050C"/>
    <w:rsid w:val="00940583"/>
    <w:rsid w:val="009405CA"/>
    <w:rsid w:val="00940711"/>
    <w:rsid w:val="0094092F"/>
    <w:rsid w:val="00940C67"/>
    <w:rsid w:val="00940F22"/>
    <w:rsid w:val="00940F6B"/>
    <w:rsid w:val="00941138"/>
    <w:rsid w:val="0094158B"/>
    <w:rsid w:val="00941691"/>
    <w:rsid w:val="0094180F"/>
    <w:rsid w:val="009418E5"/>
    <w:rsid w:val="00941C75"/>
    <w:rsid w:val="00942A62"/>
    <w:rsid w:val="00943023"/>
    <w:rsid w:val="00943088"/>
    <w:rsid w:val="009434CC"/>
    <w:rsid w:val="009436C9"/>
    <w:rsid w:val="00943A2F"/>
    <w:rsid w:val="00943BE3"/>
    <w:rsid w:val="00944213"/>
    <w:rsid w:val="009442FC"/>
    <w:rsid w:val="009445F1"/>
    <w:rsid w:val="009450FC"/>
    <w:rsid w:val="00945656"/>
    <w:rsid w:val="00945AD5"/>
    <w:rsid w:val="00945B56"/>
    <w:rsid w:val="00945C74"/>
    <w:rsid w:val="009463DB"/>
    <w:rsid w:val="00946F96"/>
    <w:rsid w:val="00946FE7"/>
    <w:rsid w:val="009470F8"/>
    <w:rsid w:val="00947195"/>
    <w:rsid w:val="00947370"/>
    <w:rsid w:val="00947A97"/>
    <w:rsid w:val="00947C21"/>
    <w:rsid w:val="00950078"/>
    <w:rsid w:val="00950716"/>
    <w:rsid w:val="00950876"/>
    <w:rsid w:val="009508A9"/>
    <w:rsid w:val="00950D9C"/>
    <w:rsid w:val="00951440"/>
    <w:rsid w:val="00951481"/>
    <w:rsid w:val="0095151B"/>
    <w:rsid w:val="00951B71"/>
    <w:rsid w:val="00951D97"/>
    <w:rsid w:val="00951E3E"/>
    <w:rsid w:val="00951E58"/>
    <w:rsid w:val="00951FCF"/>
    <w:rsid w:val="009523DC"/>
    <w:rsid w:val="009528FF"/>
    <w:rsid w:val="009529C8"/>
    <w:rsid w:val="00953254"/>
    <w:rsid w:val="0095338E"/>
    <w:rsid w:val="009537BA"/>
    <w:rsid w:val="009538B9"/>
    <w:rsid w:val="009538EF"/>
    <w:rsid w:val="009539C5"/>
    <w:rsid w:val="0095430A"/>
    <w:rsid w:val="0095430F"/>
    <w:rsid w:val="00954385"/>
    <w:rsid w:val="00954471"/>
    <w:rsid w:val="009545BC"/>
    <w:rsid w:val="009548FC"/>
    <w:rsid w:val="009549CA"/>
    <w:rsid w:val="00954A6E"/>
    <w:rsid w:val="00954DC7"/>
    <w:rsid w:val="009550CE"/>
    <w:rsid w:val="009550F2"/>
    <w:rsid w:val="00955316"/>
    <w:rsid w:val="009553AF"/>
    <w:rsid w:val="009553C4"/>
    <w:rsid w:val="0095569D"/>
    <w:rsid w:val="00955734"/>
    <w:rsid w:val="00955A56"/>
    <w:rsid w:val="00955A5B"/>
    <w:rsid w:val="00955A8E"/>
    <w:rsid w:val="00955ACD"/>
    <w:rsid w:val="00955DCB"/>
    <w:rsid w:val="00956C3A"/>
    <w:rsid w:val="00956D73"/>
    <w:rsid w:val="00956D7E"/>
    <w:rsid w:val="009572C3"/>
    <w:rsid w:val="009572F8"/>
    <w:rsid w:val="0095749A"/>
    <w:rsid w:val="009576E7"/>
    <w:rsid w:val="0095775A"/>
    <w:rsid w:val="00957DE8"/>
    <w:rsid w:val="00960041"/>
    <w:rsid w:val="0096012E"/>
    <w:rsid w:val="00960729"/>
    <w:rsid w:val="0096092D"/>
    <w:rsid w:val="00960F04"/>
    <w:rsid w:val="0096123B"/>
    <w:rsid w:val="00961800"/>
    <w:rsid w:val="00961B71"/>
    <w:rsid w:val="00961B92"/>
    <w:rsid w:val="00962401"/>
    <w:rsid w:val="009626EA"/>
    <w:rsid w:val="009627D8"/>
    <w:rsid w:val="009628E7"/>
    <w:rsid w:val="00962EC0"/>
    <w:rsid w:val="00962ED8"/>
    <w:rsid w:val="0096319B"/>
    <w:rsid w:val="0096343B"/>
    <w:rsid w:val="0096367A"/>
    <w:rsid w:val="009640CA"/>
    <w:rsid w:val="0096474B"/>
    <w:rsid w:val="0096484B"/>
    <w:rsid w:val="00964A9E"/>
    <w:rsid w:val="00964E10"/>
    <w:rsid w:val="009651E7"/>
    <w:rsid w:val="009653C3"/>
    <w:rsid w:val="00965726"/>
    <w:rsid w:val="00965BD1"/>
    <w:rsid w:val="00965BEC"/>
    <w:rsid w:val="00965C78"/>
    <w:rsid w:val="009662D0"/>
    <w:rsid w:val="00966827"/>
    <w:rsid w:val="00966835"/>
    <w:rsid w:val="00966BF9"/>
    <w:rsid w:val="009670A6"/>
    <w:rsid w:val="009674F6"/>
    <w:rsid w:val="00967930"/>
    <w:rsid w:val="0096795B"/>
    <w:rsid w:val="00967B4D"/>
    <w:rsid w:val="009700ED"/>
    <w:rsid w:val="0097023F"/>
    <w:rsid w:val="009702DA"/>
    <w:rsid w:val="00970488"/>
    <w:rsid w:val="00970661"/>
    <w:rsid w:val="00970930"/>
    <w:rsid w:val="00970CFE"/>
    <w:rsid w:val="00971282"/>
    <w:rsid w:val="00971371"/>
    <w:rsid w:val="0097144F"/>
    <w:rsid w:val="009719F6"/>
    <w:rsid w:val="00971CF6"/>
    <w:rsid w:val="00971EA4"/>
    <w:rsid w:val="00972352"/>
    <w:rsid w:val="0097247A"/>
    <w:rsid w:val="0097253D"/>
    <w:rsid w:val="0097279B"/>
    <w:rsid w:val="00972A3F"/>
    <w:rsid w:val="00972CE9"/>
    <w:rsid w:val="009731DC"/>
    <w:rsid w:val="009735CE"/>
    <w:rsid w:val="00973886"/>
    <w:rsid w:val="00973FE6"/>
    <w:rsid w:val="00974023"/>
    <w:rsid w:val="0097407C"/>
    <w:rsid w:val="00974240"/>
    <w:rsid w:val="00974605"/>
    <w:rsid w:val="00974A49"/>
    <w:rsid w:val="00974D41"/>
    <w:rsid w:val="00975390"/>
    <w:rsid w:val="009755AB"/>
    <w:rsid w:val="0097592F"/>
    <w:rsid w:val="009759CE"/>
    <w:rsid w:val="00975B5C"/>
    <w:rsid w:val="00976066"/>
    <w:rsid w:val="0097646B"/>
    <w:rsid w:val="00976818"/>
    <w:rsid w:val="00976CA0"/>
    <w:rsid w:val="009770FA"/>
    <w:rsid w:val="009771FD"/>
    <w:rsid w:val="0097730F"/>
    <w:rsid w:val="0097737F"/>
    <w:rsid w:val="00977A41"/>
    <w:rsid w:val="00977D07"/>
    <w:rsid w:val="00980315"/>
    <w:rsid w:val="0098099E"/>
    <w:rsid w:val="00980CF1"/>
    <w:rsid w:val="00981779"/>
    <w:rsid w:val="00981915"/>
    <w:rsid w:val="00981F4A"/>
    <w:rsid w:val="0098205F"/>
    <w:rsid w:val="009824AA"/>
    <w:rsid w:val="00982754"/>
    <w:rsid w:val="0098299B"/>
    <w:rsid w:val="00982CE6"/>
    <w:rsid w:val="00982EA2"/>
    <w:rsid w:val="00982F6F"/>
    <w:rsid w:val="00983026"/>
    <w:rsid w:val="0098302E"/>
    <w:rsid w:val="009830A2"/>
    <w:rsid w:val="009836D1"/>
    <w:rsid w:val="00983ABF"/>
    <w:rsid w:val="00983B42"/>
    <w:rsid w:val="00983CFE"/>
    <w:rsid w:val="00983F59"/>
    <w:rsid w:val="0098417D"/>
    <w:rsid w:val="009841C8"/>
    <w:rsid w:val="00984E5F"/>
    <w:rsid w:val="00984F32"/>
    <w:rsid w:val="0098501D"/>
    <w:rsid w:val="009851D4"/>
    <w:rsid w:val="00985268"/>
    <w:rsid w:val="009854CA"/>
    <w:rsid w:val="009855FD"/>
    <w:rsid w:val="00985C2F"/>
    <w:rsid w:val="009861BE"/>
    <w:rsid w:val="00986719"/>
    <w:rsid w:val="00986A22"/>
    <w:rsid w:val="00986AAA"/>
    <w:rsid w:val="00986ADE"/>
    <w:rsid w:val="00986B73"/>
    <w:rsid w:val="00986BFA"/>
    <w:rsid w:val="00986CB5"/>
    <w:rsid w:val="00986D1E"/>
    <w:rsid w:val="00986F60"/>
    <w:rsid w:val="0098763F"/>
    <w:rsid w:val="00987776"/>
    <w:rsid w:val="00987BAA"/>
    <w:rsid w:val="00987FB7"/>
    <w:rsid w:val="00990030"/>
    <w:rsid w:val="0099040E"/>
    <w:rsid w:val="00990455"/>
    <w:rsid w:val="009908D3"/>
    <w:rsid w:val="009909CD"/>
    <w:rsid w:val="00990B7C"/>
    <w:rsid w:val="00990C83"/>
    <w:rsid w:val="009910EA"/>
    <w:rsid w:val="0099122E"/>
    <w:rsid w:val="0099132B"/>
    <w:rsid w:val="0099163D"/>
    <w:rsid w:val="00991A23"/>
    <w:rsid w:val="00991A87"/>
    <w:rsid w:val="00991CF9"/>
    <w:rsid w:val="00991EDD"/>
    <w:rsid w:val="0099221F"/>
    <w:rsid w:val="009922D0"/>
    <w:rsid w:val="00992754"/>
    <w:rsid w:val="00992830"/>
    <w:rsid w:val="009928B4"/>
    <w:rsid w:val="009928BC"/>
    <w:rsid w:val="009929FF"/>
    <w:rsid w:val="00992A26"/>
    <w:rsid w:val="009932B6"/>
    <w:rsid w:val="009936E5"/>
    <w:rsid w:val="00993E0A"/>
    <w:rsid w:val="00994594"/>
    <w:rsid w:val="009945E7"/>
    <w:rsid w:val="0099467C"/>
    <w:rsid w:val="009946B9"/>
    <w:rsid w:val="00994DAA"/>
    <w:rsid w:val="009951A1"/>
    <w:rsid w:val="00995354"/>
    <w:rsid w:val="0099567C"/>
    <w:rsid w:val="0099584B"/>
    <w:rsid w:val="009958DE"/>
    <w:rsid w:val="0099591B"/>
    <w:rsid w:val="00995BE7"/>
    <w:rsid w:val="00995C47"/>
    <w:rsid w:val="00996183"/>
    <w:rsid w:val="009962A1"/>
    <w:rsid w:val="00996936"/>
    <w:rsid w:val="00997066"/>
    <w:rsid w:val="0099715B"/>
    <w:rsid w:val="009979CA"/>
    <w:rsid w:val="00997DE9"/>
    <w:rsid w:val="009A068E"/>
    <w:rsid w:val="009A0A29"/>
    <w:rsid w:val="009A0B55"/>
    <w:rsid w:val="009A0B58"/>
    <w:rsid w:val="009A1111"/>
    <w:rsid w:val="009A149F"/>
    <w:rsid w:val="009A1981"/>
    <w:rsid w:val="009A1A92"/>
    <w:rsid w:val="009A1C31"/>
    <w:rsid w:val="009A1EF8"/>
    <w:rsid w:val="009A2013"/>
    <w:rsid w:val="009A206E"/>
    <w:rsid w:val="009A20C0"/>
    <w:rsid w:val="009A2372"/>
    <w:rsid w:val="009A2694"/>
    <w:rsid w:val="009A2C57"/>
    <w:rsid w:val="009A2E5F"/>
    <w:rsid w:val="009A2EC6"/>
    <w:rsid w:val="009A33AC"/>
    <w:rsid w:val="009A3DD0"/>
    <w:rsid w:val="009A410A"/>
    <w:rsid w:val="009A4172"/>
    <w:rsid w:val="009A41D5"/>
    <w:rsid w:val="009A42A3"/>
    <w:rsid w:val="009A48A7"/>
    <w:rsid w:val="009A49ED"/>
    <w:rsid w:val="009A5233"/>
    <w:rsid w:val="009A5584"/>
    <w:rsid w:val="009A5C11"/>
    <w:rsid w:val="009A5D87"/>
    <w:rsid w:val="009A63B4"/>
    <w:rsid w:val="009A668F"/>
    <w:rsid w:val="009A67F3"/>
    <w:rsid w:val="009A6C20"/>
    <w:rsid w:val="009A6C64"/>
    <w:rsid w:val="009A6D87"/>
    <w:rsid w:val="009A702C"/>
    <w:rsid w:val="009A722B"/>
    <w:rsid w:val="009A7674"/>
    <w:rsid w:val="009A76B6"/>
    <w:rsid w:val="009A7803"/>
    <w:rsid w:val="009A79C0"/>
    <w:rsid w:val="009A7C7F"/>
    <w:rsid w:val="009A7EAB"/>
    <w:rsid w:val="009A7EEE"/>
    <w:rsid w:val="009B0296"/>
    <w:rsid w:val="009B0624"/>
    <w:rsid w:val="009B0827"/>
    <w:rsid w:val="009B0DCF"/>
    <w:rsid w:val="009B0E0B"/>
    <w:rsid w:val="009B1253"/>
    <w:rsid w:val="009B150D"/>
    <w:rsid w:val="009B1929"/>
    <w:rsid w:val="009B1ACB"/>
    <w:rsid w:val="009B1B70"/>
    <w:rsid w:val="009B1C3B"/>
    <w:rsid w:val="009B1D4B"/>
    <w:rsid w:val="009B1E25"/>
    <w:rsid w:val="009B262F"/>
    <w:rsid w:val="009B2786"/>
    <w:rsid w:val="009B27E0"/>
    <w:rsid w:val="009B2882"/>
    <w:rsid w:val="009B2B18"/>
    <w:rsid w:val="009B2BE9"/>
    <w:rsid w:val="009B2BF0"/>
    <w:rsid w:val="009B2CF3"/>
    <w:rsid w:val="009B2DB8"/>
    <w:rsid w:val="009B2EF8"/>
    <w:rsid w:val="009B398B"/>
    <w:rsid w:val="009B39AA"/>
    <w:rsid w:val="009B474D"/>
    <w:rsid w:val="009B4C3A"/>
    <w:rsid w:val="009B4E27"/>
    <w:rsid w:val="009B549D"/>
    <w:rsid w:val="009B562E"/>
    <w:rsid w:val="009B59EE"/>
    <w:rsid w:val="009B5B5A"/>
    <w:rsid w:val="009B5E95"/>
    <w:rsid w:val="009B5FEE"/>
    <w:rsid w:val="009B6005"/>
    <w:rsid w:val="009B6857"/>
    <w:rsid w:val="009B692A"/>
    <w:rsid w:val="009B6BBA"/>
    <w:rsid w:val="009B6D9F"/>
    <w:rsid w:val="009B6FD0"/>
    <w:rsid w:val="009B720E"/>
    <w:rsid w:val="009B7554"/>
    <w:rsid w:val="009B762B"/>
    <w:rsid w:val="009B7C64"/>
    <w:rsid w:val="009C008C"/>
    <w:rsid w:val="009C05B5"/>
    <w:rsid w:val="009C060E"/>
    <w:rsid w:val="009C0929"/>
    <w:rsid w:val="009C0A8E"/>
    <w:rsid w:val="009C0CAF"/>
    <w:rsid w:val="009C0D76"/>
    <w:rsid w:val="009C1355"/>
    <w:rsid w:val="009C14ED"/>
    <w:rsid w:val="009C15B7"/>
    <w:rsid w:val="009C16EE"/>
    <w:rsid w:val="009C18AE"/>
    <w:rsid w:val="009C1C21"/>
    <w:rsid w:val="009C2208"/>
    <w:rsid w:val="009C2FC1"/>
    <w:rsid w:val="009C34FF"/>
    <w:rsid w:val="009C355A"/>
    <w:rsid w:val="009C35C3"/>
    <w:rsid w:val="009C3DC2"/>
    <w:rsid w:val="009C3E3F"/>
    <w:rsid w:val="009C3FFD"/>
    <w:rsid w:val="009C463B"/>
    <w:rsid w:val="009C4845"/>
    <w:rsid w:val="009C4C9C"/>
    <w:rsid w:val="009C4D8F"/>
    <w:rsid w:val="009C4DD3"/>
    <w:rsid w:val="009C4E08"/>
    <w:rsid w:val="009C513D"/>
    <w:rsid w:val="009C5331"/>
    <w:rsid w:val="009C53C5"/>
    <w:rsid w:val="009C5AF3"/>
    <w:rsid w:val="009C5E30"/>
    <w:rsid w:val="009C610A"/>
    <w:rsid w:val="009C6233"/>
    <w:rsid w:val="009C6504"/>
    <w:rsid w:val="009C66FB"/>
    <w:rsid w:val="009C6C88"/>
    <w:rsid w:val="009C7449"/>
    <w:rsid w:val="009C747E"/>
    <w:rsid w:val="009C7B7A"/>
    <w:rsid w:val="009D0278"/>
    <w:rsid w:val="009D02ED"/>
    <w:rsid w:val="009D0305"/>
    <w:rsid w:val="009D052E"/>
    <w:rsid w:val="009D06F7"/>
    <w:rsid w:val="009D0826"/>
    <w:rsid w:val="009D0F09"/>
    <w:rsid w:val="009D0F9F"/>
    <w:rsid w:val="009D14A2"/>
    <w:rsid w:val="009D17E3"/>
    <w:rsid w:val="009D1BC0"/>
    <w:rsid w:val="009D278F"/>
    <w:rsid w:val="009D2C9A"/>
    <w:rsid w:val="009D2D5C"/>
    <w:rsid w:val="009D30FC"/>
    <w:rsid w:val="009D33CB"/>
    <w:rsid w:val="009D3781"/>
    <w:rsid w:val="009D3860"/>
    <w:rsid w:val="009D3B37"/>
    <w:rsid w:val="009D3C32"/>
    <w:rsid w:val="009D4107"/>
    <w:rsid w:val="009D4397"/>
    <w:rsid w:val="009D47BF"/>
    <w:rsid w:val="009D482F"/>
    <w:rsid w:val="009D4A83"/>
    <w:rsid w:val="009D4C6B"/>
    <w:rsid w:val="009D4EA6"/>
    <w:rsid w:val="009D577A"/>
    <w:rsid w:val="009D5F37"/>
    <w:rsid w:val="009D5F66"/>
    <w:rsid w:val="009D61B6"/>
    <w:rsid w:val="009D6275"/>
    <w:rsid w:val="009D62C5"/>
    <w:rsid w:val="009D7193"/>
    <w:rsid w:val="009D75F2"/>
    <w:rsid w:val="009D76EF"/>
    <w:rsid w:val="009D7E96"/>
    <w:rsid w:val="009E0057"/>
    <w:rsid w:val="009E0107"/>
    <w:rsid w:val="009E0253"/>
    <w:rsid w:val="009E0529"/>
    <w:rsid w:val="009E22CF"/>
    <w:rsid w:val="009E233D"/>
    <w:rsid w:val="009E24B7"/>
    <w:rsid w:val="009E2754"/>
    <w:rsid w:val="009E2782"/>
    <w:rsid w:val="009E2C79"/>
    <w:rsid w:val="009E2D71"/>
    <w:rsid w:val="009E3632"/>
    <w:rsid w:val="009E3849"/>
    <w:rsid w:val="009E3DB7"/>
    <w:rsid w:val="009E41BF"/>
    <w:rsid w:val="009E436F"/>
    <w:rsid w:val="009E452F"/>
    <w:rsid w:val="009E45B0"/>
    <w:rsid w:val="009E4C0A"/>
    <w:rsid w:val="009E5266"/>
    <w:rsid w:val="009E5372"/>
    <w:rsid w:val="009E55C1"/>
    <w:rsid w:val="009E5BDC"/>
    <w:rsid w:val="009E5D57"/>
    <w:rsid w:val="009E6B76"/>
    <w:rsid w:val="009E6FDA"/>
    <w:rsid w:val="009E7259"/>
    <w:rsid w:val="009E728E"/>
    <w:rsid w:val="009E74E5"/>
    <w:rsid w:val="009E756C"/>
    <w:rsid w:val="009E78FE"/>
    <w:rsid w:val="009E7A61"/>
    <w:rsid w:val="009E7A62"/>
    <w:rsid w:val="009E7AE1"/>
    <w:rsid w:val="009E7E51"/>
    <w:rsid w:val="009E7EC3"/>
    <w:rsid w:val="009E7FAF"/>
    <w:rsid w:val="009E7FB6"/>
    <w:rsid w:val="009F0BE7"/>
    <w:rsid w:val="009F0CB1"/>
    <w:rsid w:val="009F160A"/>
    <w:rsid w:val="009F18E1"/>
    <w:rsid w:val="009F1A2E"/>
    <w:rsid w:val="009F1CD5"/>
    <w:rsid w:val="009F1CEE"/>
    <w:rsid w:val="009F1E67"/>
    <w:rsid w:val="009F22CA"/>
    <w:rsid w:val="009F2B90"/>
    <w:rsid w:val="009F3254"/>
    <w:rsid w:val="009F34BD"/>
    <w:rsid w:val="009F353C"/>
    <w:rsid w:val="009F382C"/>
    <w:rsid w:val="009F3B06"/>
    <w:rsid w:val="009F3B2C"/>
    <w:rsid w:val="009F3B42"/>
    <w:rsid w:val="009F3FC4"/>
    <w:rsid w:val="009F43DA"/>
    <w:rsid w:val="009F4CE4"/>
    <w:rsid w:val="009F4E3A"/>
    <w:rsid w:val="009F4F2E"/>
    <w:rsid w:val="009F51E4"/>
    <w:rsid w:val="009F552E"/>
    <w:rsid w:val="009F5897"/>
    <w:rsid w:val="009F5DCD"/>
    <w:rsid w:val="009F5FBB"/>
    <w:rsid w:val="009F6016"/>
    <w:rsid w:val="009F615A"/>
    <w:rsid w:val="009F62B5"/>
    <w:rsid w:val="009F6A6D"/>
    <w:rsid w:val="009F6D7D"/>
    <w:rsid w:val="009F6E19"/>
    <w:rsid w:val="009F71DD"/>
    <w:rsid w:val="009F77EF"/>
    <w:rsid w:val="009F7974"/>
    <w:rsid w:val="009F7B51"/>
    <w:rsid w:val="00A004B6"/>
    <w:rsid w:val="00A00619"/>
    <w:rsid w:val="00A00644"/>
    <w:rsid w:val="00A00724"/>
    <w:rsid w:val="00A00A2E"/>
    <w:rsid w:val="00A00DBB"/>
    <w:rsid w:val="00A0118E"/>
    <w:rsid w:val="00A016E6"/>
    <w:rsid w:val="00A0188A"/>
    <w:rsid w:val="00A01F44"/>
    <w:rsid w:val="00A01FC2"/>
    <w:rsid w:val="00A022D8"/>
    <w:rsid w:val="00A02336"/>
    <w:rsid w:val="00A0260C"/>
    <w:rsid w:val="00A0279A"/>
    <w:rsid w:val="00A027CB"/>
    <w:rsid w:val="00A02885"/>
    <w:rsid w:val="00A02BE2"/>
    <w:rsid w:val="00A03032"/>
    <w:rsid w:val="00A0311C"/>
    <w:rsid w:val="00A033E6"/>
    <w:rsid w:val="00A03AE0"/>
    <w:rsid w:val="00A03F6B"/>
    <w:rsid w:val="00A04265"/>
    <w:rsid w:val="00A04B7C"/>
    <w:rsid w:val="00A04F86"/>
    <w:rsid w:val="00A05293"/>
    <w:rsid w:val="00A05788"/>
    <w:rsid w:val="00A057BB"/>
    <w:rsid w:val="00A05C63"/>
    <w:rsid w:val="00A05CF5"/>
    <w:rsid w:val="00A05E5A"/>
    <w:rsid w:val="00A06262"/>
    <w:rsid w:val="00A065CB"/>
    <w:rsid w:val="00A0676D"/>
    <w:rsid w:val="00A067A7"/>
    <w:rsid w:val="00A0695D"/>
    <w:rsid w:val="00A06FE4"/>
    <w:rsid w:val="00A07002"/>
    <w:rsid w:val="00A0722B"/>
    <w:rsid w:val="00A074DD"/>
    <w:rsid w:val="00A07CCF"/>
    <w:rsid w:val="00A07E70"/>
    <w:rsid w:val="00A1001E"/>
    <w:rsid w:val="00A100BE"/>
    <w:rsid w:val="00A105B6"/>
    <w:rsid w:val="00A10791"/>
    <w:rsid w:val="00A1087F"/>
    <w:rsid w:val="00A10B49"/>
    <w:rsid w:val="00A10BF6"/>
    <w:rsid w:val="00A10DA0"/>
    <w:rsid w:val="00A10DE0"/>
    <w:rsid w:val="00A10ED8"/>
    <w:rsid w:val="00A113BA"/>
    <w:rsid w:val="00A1169F"/>
    <w:rsid w:val="00A117B2"/>
    <w:rsid w:val="00A117B7"/>
    <w:rsid w:val="00A117D0"/>
    <w:rsid w:val="00A118F3"/>
    <w:rsid w:val="00A119B7"/>
    <w:rsid w:val="00A11A0D"/>
    <w:rsid w:val="00A11B57"/>
    <w:rsid w:val="00A11C2C"/>
    <w:rsid w:val="00A12428"/>
    <w:rsid w:val="00A1286F"/>
    <w:rsid w:val="00A12EE9"/>
    <w:rsid w:val="00A12F48"/>
    <w:rsid w:val="00A12FA3"/>
    <w:rsid w:val="00A12FCB"/>
    <w:rsid w:val="00A130BF"/>
    <w:rsid w:val="00A1362E"/>
    <w:rsid w:val="00A1392A"/>
    <w:rsid w:val="00A139E0"/>
    <w:rsid w:val="00A142AC"/>
    <w:rsid w:val="00A1478C"/>
    <w:rsid w:val="00A14E11"/>
    <w:rsid w:val="00A14E4E"/>
    <w:rsid w:val="00A14EB3"/>
    <w:rsid w:val="00A15858"/>
    <w:rsid w:val="00A1697C"/>
    <w:rsid w:val="00A16B70"/>
    <w:rsid w:val="00A16FC5"/>
    <w:rsid w:val="00A173A0"/>
    <w:rsid w:val="00A17A90"/>
    <w:rsid w:val="00A17B0A"/>
    <w:rsid w:val="00A17E85"/>
    <w:rsid w:val="00A20854"/>
    <w:rsid w:val="00A209C4"/>
    <w:rsid w:val="00A20FDF"/>
    <w:rsid w:val="00A2137E"/>
    <w:rsid w:val="00A217A8"/>
    <w:rsid w:val="00A21CAB"/>
    <w:rsid w:val="00A22623"/>
    <w:rsid w:val="00A22879"/>
    <w:rsid w:val="00A22A95"/>
    <w:rsid w:val="00A22BB4"/>
    <w:rsid w:val="00A22BF8"/>
    <w:rsid w:val="00A22CC7"/>
    <w:rsid w:val="00A2367D"/>
    <w:rsid w:val="00A23A2A"/>
    <w:rsid w:val="00A23C2F"/>
    <w:rsid w:val="00A24221"/>
    <w:rsid w:val="00A2437F"/>
    <w:rsid w:val="00A247A5"/>
    <w:rsid w:val="00A24E18"/>
    <w:rsid w:val="00A25033"/>
    <w:rsid w:val="00A25044"/>
    <w:rsid w:val="00A250AD"/>
    <w:rsid w:val="00A25323"/>
    <w:rsid w:val="00A2593B"/>
    <w:rsid w:val="00A25ABC"/>
    <w:rsid w:val="00A25F79"/>
    <w:rsid w:val="00A260AD"/>
    <w:rsid w:val="00A260ED"/>
    <w:rsid w:val="00A266CB"/>
    <w:rsid w:val="00A26A41"/>
    <w:rsid w:val="00A2701F"/>
    <w:rsid w:val="00A2732E"/>
    <w:rsid w:val="00A275F0"/>
    <w:rsid w:val="00A27674"/>
    <w:rsid w:val="00A27D10"/>
    <w:rsid w:val="00A305EF"/>
    <w:rsid w:val="00A30A00"/>
    <w:rsid w:val="00A30B21"/>
    <w:rsid w:val="00A31153"/>
    <w:rsid w:val="00A3163A"/>
    <w:rsid w:val="00A3198C"/>
    <w:rsid w:val="00A31A7D"/>
    <w:rsid w:val="00A31A8C"/>
    <w:rsid w:val="00A31BFB"/>
    <w:rsid w:val="00A31ECE"/>
    <w:rsid w:val="00A323AC"/>
    <w:rsid w:val="00A328BA"/>
    <w:rsid w:val="00A329CA"/>
    <w:rsid w:val="00A32D18"/>
    <w:rsid w:val="00A32DA4"/>
    <w:rsid w:val="00A32ED2"/>
    <w:rsid w:val="00A3302C"/>
    <w:rsid w:val="00A331B5"/>
    <w:rsid w:val="00A333FD"/>
    <w:rsid w:val="00A33476"/>
    <w:rsid w:val="00A335F6"/>
    <w:rsid w:val="00A338DA"/>
    <w:rsid w:val="00A33A07"/>
    <w:rsid w:val="00A33AA1"/>
    <w:rsid w:val="00A34384"/>
    <w:rsid w:val="00A344A2"/>
    <w:rsid w:val="00A3461D"/>
    <w:rsid w:val="00A34D8A"/>
    <w:rsid w:val="00A34FBA"/>
    <w:rsid w:val="00A359FD"/>
    <w:rsid w:val="00A35F0A"/>
    <w:rsid w:val="00A3622E"/>
    <w:rsid w:val="00A36817"/>
    <w:rsid w:val="00A36A54"/>
    <w:rsid w:val="00A36A95"/>
    <w:rsid w:val="00A36CC6"/>
    <w:rsid w:val="00A374C0"/>
    <w:rsid w:val="00A37597"/>
    <w:rsid w:val="00A37A7F"/>
    <w:rsid w:val="00A37B58"/>
    <w:rsid w:val="00A40096"/>
    <w:rsid w:val="00A4070A"/>
    <w:rsid w:val="00A40B28"/>
    <w:rsid w:val="00A40BF9"/>
    <w:rsid w:val="00A4111C"/>
    <w:rsid w:val="00A412A9"/>
    <w:rsid w:val="00A41431"/>
    <w:rsid w:val="00A41599"/>
    <w:rsid w:val="00A416CC"/>
    <w:rsid w:val="00A417F5"/>
    <w:rsid w:val="00A41A7D"/>
    <w:rsid w:val="00A41F56"/>
    <w:rsid w:val="00A42036"/>
    <w:rsid w:val="00A4220F"/>
    <w:rsid w:val="00A4253D"/>
    <w:rsid w:val="00A4287E"/>
    <w:rsid w:val="00A43057"/>
    <w:rsid w:val="00A43125"/>
    <w:rsid w:val="00A43130"/>
    <w:rsid w:val="00A43282"/>
    <w:rsid w:val="00A43810"/>
    <w:rsid w:val="00A43CFC"/>
    <w:rsid w:val="00A43F5B"/>
    <w:rsid w:val="00A440C3"/>
    <w:rsid w:val="00A441ED"/>
    <w:rsid w:val="00A44257"/>
    <w:rsid w:val="00A44327"/>
    <w:rsid w:val="00A444CF"/>
    <w:rsid w:val="00A44700"/>
    <w:rsid w:val="00A44795"/>
    <w:rsid w:val="00A44AF9"/>
    <w:rsid w:val="00A44BC3"/>
    <w:rsid w:val="00A44BCB"/>
    <w:rsid w:val="00A44CB1"/>
    <w:rsid w:val="00A44F79"/>
    <w:rsid w:val="00A45007"/>
    <w:rsid w:val="00A45647"/>
    <w:rsid w:val="00A4614E"/>
    <w:rsid w:val="00A46923"/>
    <w:rsid w:val="00A46988"/>
    <w:rsid w:val="00A46CEE"/>
    <w:rsid w:val="00A46FD5"/>
    <w:rsid w:val="00A471A4"/>
    <w:rsid w:val="00A47207"/>
    <w:rsid w:val="00A478FE"/>
    <w:rsid w:val="00A47A5B"/>
    <w:rsid w:val="00A47A95"/>
    <w:rsid w:val="00A47B08"/>
    <w:rsid w:val="00A47C38"/>
    <w:rsid w:val="00A47DA6"/>
    <w:rsid w:val="00A500E7"/>
    <w:rsid w:val="00A5058E"/>
    <w:rsid w:val="00A508E8"/>
    <w:rsid w:val="00A509A4"/>
    <w:rsid w:val="00A50BBB"/>
    <w:rsid w:val="00A50CDC"/>
    <w:rsid w:val="00A50E0F"/>
    <w:rsid w:val="00A51027"/>
    <w:rsid w:val="00A51153"/>
    <w:rsid w:val="00A5186A"/>
    <w:rsid w:val="00A51A06"/>
    <w:rsid w:val="00A51F9C"/>
    <w:rsid w:val="00A5230A"/>
    <w:rsid w:val="00A5247A"/>
    <w:rsid w:val="00A52530"/>
    <w:rsid w:val="00A52BF2"/>
    <w:rsid w:val="00A52CBF"/>
    <w:rsid w:val="00A52F49"/>
    <w:rsid w:val="00A52FD4"/>
    <w:rsid w:val="00A5311E"/>
    <w:rsid w:val="00A53651"/>
    <w:rsid w:val="00A53707"/>
    <w:rsid w:val="00A53A7E"/>
    <w:rsid w:val="00A53C4D"/>
    <w:rsid w:val="00A54476"/>
    <w:rsid w:val="00A5450C"/>
    <w:rsid w:val="00A5468E"/>
    <w:rsid w:val="00A54727"/>
    <w:rsid w:val="00A54A9E"/>
    <w:rsid w:val="00A54BE5"/>
    <w:rsid w:val="00A55183"/>
    <w:rsid w:val="00A551C6"/>
    <w:rsid w:val="00A55206"/>
    <w:rsid w:val="00A556F0"/>
    <w:rsid w:val="00A55A39"/>
    <w:rsid w:val="00A55B11"/>
    <w:rsid w:val="00A55BBB"/>
    <w:rsid w:val="00A55E7B"/>
    <w:rsid w:val="00A55F35"/>
    <w:rsid w:val="00A55F45"/>
    <w:rsid w:val="00A5664A"/>
    <w:rsid w:val="00A56B9A"/>
    <w:rsid w:val="00A56C5C"/>
    <w:rsid w:val="00A56C6F"/>
    <w:rsid w:val="00A56E59"/>
    <w:rsid w:val="00A572CD"/>
    <w:rsid w:val="00A57675"/>
    <w:rsid w:val="00A57915"/>
    <w:rsid w:val="00A57DED"/>
    <w:rsid w:val="00A57E3B"/>
    <w:rsid w:val="00A57F74"/>
    <w:rsid w:val="00A6011A"/>
    <w:rsid w:val="00A603B1"/>
    <w:rsid w:val="00A60746"/>
    <w:rsid w:val="00A61512"/>
    <w:rsid w:val="00A61C22"/>
    <w:rsid w:val="00A61C5F"/>
    <w:rsid w:val="00A61FB6"/>
    <w:rsid w:val="00A62760"/>
    <w:rsid w:val="00A6290D"/>
    <w:rsid w:val="00A62A0A"/>
    <w:rsid w:val="00A62DA8"/>
    <w:rsid w:val="00A6337E"/>
    <w:rsid w:val="00A63D65"/>
    <w:rsid w:val="00A64086"/>
    <w:rsid w:val="00A64342"/>
    <w:rsid w:val="00A6510E"/>
    <w:rsid w:val="00A653B8"/>
    <w:rsid w:val="00A656BF"/>
    <w:rsid w:val="00A65795"/>
    <w:rsid w:val="00A65BC0"/>
    <w:rsid w:val="00A65F6C"/>
    <w:rsid w:val="00A66056"/>
    <w:rsid w:val="00A66200"/>
    <w:rsid w:val="00A66466"/>
    <w:rsid w:val="00A665ED"/>
    <w:rsid w:val="00A6666F"/>
    <w:rsid w:val="00A66676"/>
    <w:rsid w:val="00A667C9"/>
    <w:rsid w:val="00A66E91"/>
    <w:rsid w:val="00A67BC8"/>
    <w:rsid w:val="00A67CAE"/>
    <w:rsid w:val="00A67E8F"/>
    <w:rsid w:val="00A70172"/>
    <w:rsid w:val="00A707DA"/>
    <w:rsid w:val="00A70B17"/>
    <w:rsid w:val="00A7130A"/>
    <w:rsid w:val="00A713A1"/>
    <w:rsid w:val="00A71A56"/>
    <w:rsid w:val="00A71B71"/>
    <w:rsid w:val="00A71CAB"/>
    <w:rsid w:val="00A720C2"/>
    <w:rsid w:val="00A722B0"/>
    <w:rsid w:val="00A727AD"/>
    <w:rsid w:val="00A7313D"/>
    <w:rsid w:val="00A7380E"/>
    <w:rsid w:val="00A738A8"/>
    <w:rsid w:val="00A739F1"/>
    <w:rsid w:val="00A73BD7"/>
    <w:rsid w:val="00A73E6E"/>
    <w:rsid w:val="00A74BF6"/>
    <w:rsid w:val="00A74BF7"/>
    <w:rsid w:val="00A74C0E"/>
    <w:rsid w:val="00A74D31"/>
    <w:rsid w:val="00A74D98"/>
    <w:rsid w:val="00A75147"/>
    <w:rsid w:val="00A7528B"/>
    <w:rsid w:val="00A753BA"/>
    <w:rsid w:val="00A75483"/>
    <w:rsid w:val="00A7558A"/>
    <w:rsid w:val="00A759A5"/>
    <w:rsid w:val="00A75BBD"/>
    <w:rsid w:val="00A75C73"/>
    <w:rsid w:val="00A7609E"/>
    <w:rsid w:val="00A76378"/>
    <w:rsid w:val="00A76636"/>
    <w:rsid w:val="00A7686E"/>
    <w:rsid w:val="00A7698D"/>
    <w:rsid w:val="00A76D3F"/>
    <w:rsid w:val="00A76E1F"/>
    <w:rsid w:val="00A76E81"/>
    <w:rsid w:val="00A7702B"/>
    <w:rsid w:val="00A770CA"/>
    <w:rsid w:val="00A771BA"/>
    <w:rsid w:val="00A77204"/>
    <w:rsid w:val="00A77494"/>
    <w:rsid w:val="00A7752F"/>
    <w:rsid w:val="00A77562"/>
    <w:rsid w:val="00A77761"/>
    <w:rsid w:val="00A77779"/>
    <w:rsid w:val="00A77C9A"/>
    <w:rsid w:val="00A77CAB"/>
    <w:rsid w:val="00A77D03"/>
    <w:rsid w:val="00A77EB0"/>
    <w:rsid w:val="00A8026C"/>
    <w:rsid w:val="00A80496"/>
    <w:rsid w:val="00A807E4"/>
    <w:rsid w:val="00A80806"/>
    <w:rsid w:val="00A80929"/>
    <w:rsid w:val="00A80B07"/>
    <w:rsid w:val="00A8132E"/>
    <w:rsid w:val="00A81802"/>
    <w:rsid w:val="00A81C8C"/>
    <w:rsid w:val="00A8224E"/>
    <w:rsid w:val="00A829D3"/>
    <w:rsid w:val="00A82B89"/>
    <w:rsid w:val="00A8316F"/>
    <w:rsid w:val="00A8322E"/>
    <w:rsid w:val="00A8323B"/>
    <w:rsid w:val="00A836D5"/>
    <w:rsid w:val="00A8379A"/>
    <w:rsid w:val="00A83F46"/>
    <w:rsid w:val="00A8411B"/>
    <w:rsid w:val="00A841DA"/>
    <w:rsid w:val="00A842D9"/>
    <w:rsid w:val="00A844D0"/>
    <w:rsid w:val="00A845D4"/>
    <w:rsid w:val="00A846B7"/>
    <w:rsid w:val="00A84925"/>
    <w:rsid w:val="00A84C3C"/>
    <w:rsid w:val="00A84D8D"/>
    <w:rsid w:val="00A84FB4"/>
    <w:rsid w:val="00A85501"/>
    <w:rsid w:val="00A858B1"/>
    <w:rsid w:val="00A85B1F"/>
    <w:rsid w:val="00A85D18"/>
    <w:rsid w:val="00A86123"/>
    <w:rsid w:val="00A86285"/>
    <w:rsid w:val="00A868BC"/>
    <w:rsid w:val="00A86A03"/>
    <w:rsid w:val="00A86BCB"/>
    <w:rsid w:val="00A86CAC"/>
    <w:rsid w:val="00A86ED1"/>
    <w:rsid w:val="00A86FEB"/>
    <w:rsid w:val="00A87097"/>
    <w:rsid w:val="00A87556"/>
    <w:rsid w:val="00A87B38"/>
    <w:rsid w:val="00A87CA3"/>
    <w:rsid w:val="00A87DDF"/>
    <w:rsid w:val="00A9062C"/>
    <w:rsid w:val="00A90D9E"/>
    <w:rsid w:val="00A9164E"/>
    <w:rsid w:val="00A91A0E"/>
    <w:rsid w:val="00A91D64"/>
    <w:rsid w:val="00A920D8"/>
    <w:rsid w:val="00A925D4"/>
    <w:rsid w:val="00A92757"/>
    <w:rsid w:val="00A92A9C"/>
    <w:rsid w:val="00A92E0C"/>
    <w:rsid w:val="00A93603"/>
    <w:rsid w:val="00A93D80"/>
    <w:rsid w:val="00A94052"/>
    <w:rsid w:val="00A94074"/>
    <w:rsid w:val="00A94238"/>
    <w:rsid w:val="00A94755"/>
    <w:rsid w:val="00A94D3B"/>
    <w:rsid w:val="00A9537A"/>
    <w:rsid w:val="00A9553A"/>
    <w:rsid w:val="00A957E6"/>
    <w:rsid w:val="00A963A9"/>
    <w:rsid w:val="00A96428"/>
    <w:rsid w:val="00A9647B"/>
    <w:rsid w:val="00A9679B"/>
    <w:rsid w:val="00A97281"/>
    <w:rsid w:val="00A97416"/>
    <w:rsid w:val="00A974D8"/>
    <w:rsid w:val="00A9761B"/>
    <w:rsid w:val="00AA0016"/>
    <w:rsid w:val="00AA0041"/>
    <w:rsid w:val="00AA0224"/>
    <w:rsid w:val="00AA0F7C"/>
    <w:rsid w:val="00AA1340"/>
    <w:rsid w:val="00AA1437"/>
    <w:rsid w:val="00AA172D"/>
    <w:rsid w:val="00AA194F"/>
    <w:rsid w:val="00AA1BF6"/>
    <w:rsid w:val="00AA1C33"/>
    <w:rsid w:val="00AA1FA5"/>
    <w:rsid w:val="00AA272E"/>
    <w:rsid w:val="00AA2BE2"/>
    <w:rsid w:val="00AA2FB0"/>
    <w:rsid w:val="00AA3227"/>
    <w:rsid w:val="00AA32DA"/>
    <w:rsid w:val="00AA37AD"/>
    <w:rsid w:val="00AA3B31"/>
    <w:rsid w:val="00AA3CD7"/>
    <w:rsid w:val="00AA3DB4"/>
    <w:rsid w:val="00AA3E1C"/>
    <w:rsid w:val="00AA418E"/>
    <w:rsid w:val="00AA45AD"/>
    <w:rsid w:val="00AA45C4"/>
    <w:rsid w:val="00AA4702"/>
    <w:rsid w:val="00AA4A1F"/>
    <w:rsid w:val="00AA4BDD"/>
    <w:rsid w:val="00AA4EA6"/>
    <w:rsid w:val="00AA5833"/>
    <w:rsid w:val="00AA5A61"/>
    <w:rsid w:val="00AA5BB3"/>
    <w:rsid w:val="00AA5BFB"/>
    <w:rsid w:val="00AA5EBA"/>
    <w:rsid w:val="00AA5F4F"/>
    <w:rsid w:val="00AA679A"/>
    <w:rsid w:val="00AA683A"/>
    <w:rsid w:val="00AA6E1E"/>
    <w:rsid w:val="00AA7DD5"/>
    <w:rsid w:val="00AB0C7A"/>
    <w:rsid w:val="00AB1128"/>
    <w:rsid w:val="00AB120B"/>
    <w:rsid w:val="00AB1819"/>
    <w:rsid w:val="00AB1CF4"/>
    <w:rsid w:val="00AB22E7"/>
    <w:rsid w:val="00AB23C6"/>
    <w:rsid w:val="00AB2567"/>
    <w:rsid w:val="00AB25FE"/>
    <w:rsid w:val="00AB269D"/>
    <w:rsid w:val="00AB2C00"/>
    <w:rsid w:val="00AB34E8"/>
    <w:rsid w:val="00AB363A"/>
    <w:rsid w:val="00AB37C2"/>
    <w:rsid w:val="00AB394C"/>
    <w:rsid w:val="00AB3971"/>
    <w:rsid w:val="00AB3B69"/>
    <w:rsid w:val="00AB3F12"/>
    <w:rsid w:val="00AB40D3"/>
    <w:rsid w:val="00AB49A1"/>
    <w:rsid w:val="00AB5002"/>
    <w:rsid w:val="00AB5245"/>
    <w:rsid w:val="00AB546F"/>
    <w:rsid w:val="00AB5613"/>
    <w:rsid w:val="00AB59A8"/>
    <w:rsid w:val="00AB5AEA"/>
    <w:rsid w:val="00AB5DA0"/>
    <w:rsid w:val="00AB5F99"/>
    <w:rsid w:val="00AB600D"/>
    <w:rsid w:val="00AB68B8"/>
    <w:rsid w:val="00AB6916"/>
    <w:rsid w:val="00AB6BB5"/>
    <w:rsid w:val="00AB6C82"/>
    <w:rsid w:val="00AB72F7"/>
    <w:rsid w:val="00AB7A79"/>
    <w:rsid w:val="00AC0794"/>
    <w:rsid w:val="00AC0B26"/>
    <w:rsid w:val="00AC0B2F"/>
    <w:rsid w:val="00AC0C14"/>
    <w:rsid w:val="00AC129A"/>
    <w:rsid w:val="00AC1450"/>
    <w:rsid w:val="00AC17BB"/>
    <w:rsid w:val="00AC1933"/>
    <w:rsid w:val="00AC1947"/>
    <w:rsid w:val="00AC195F"/>
    <w:rsid w:val="00AC1BB0"/>
    <w:rsid w:val="00AC1C16"/>
    <w:rsid w:val="00AC21C0"/>
    <w:rsid w:val="00AC2511"/>
    <w:rsid w:val="00AC2998"/>
    <w:rsid w:val="00AC29C5"/>
    <w:rsid w:val="00AC2AC8"/>
    <w:rsid w:val="00AC2EE2"/>
    <w:rsid w:val="00AC3023"/>
    <w:rsid w:val="00AC3178"/>
    <w:rsid w:val="00AC3197"/>
    <w:rsid w:val="00AC345E"/>
    <w:rsid w:val="00AC371C"/>
    <w:rsid w:val="00AC3FE9"/>
    <w:rsid w:val="00AC40AC"/>
    <w:rsid w:val="00AC4966"/>
    <w:rsid w:val="00AC520F"/>
    <w:rsid w:val="00AC5371"/>
    <w:rsid w:val="00AC5404"/>
    <w:rsid w:val="00AC561F"/>
    <w:rsid w:val="00AC57C1"/>
    <w:rsid w:val="00AC5CC6"/>
    <w:rsid w:val="00AC5DBF"/>
    <w:rsid w:val="00AC6372"/>
    <w:rsid w:val="00AC65E7"/>
    <w:rsid w:val="00AC68CE"/>
    <w:rsid w:val="00AC6F03"/>
    <w:rsid w:val="00AC7247"/>
    <w:rsid w:val="00AC7372"/>
    <w:rsid w:val="00AC7854"/>
    <w:rsid w:val="00AC7E41"/>
    <w:rsid w:val="00AD00D8"/>
    <w:rsid w:val="00AD0539"/>
    <w:rsid w:val="00AD11B2"/>
    <w:rsid w:val="00AD17AA"/>
    <w:rsid w:val="00AD18AF"/>
    <w:rsid w:val="00AD24CB"/>
    <w:rsid w:val="00AD2544"/>
    <w:rsid w:val="00AD25D6"/>
    <w:rsid w:val="00AD282F"/>
    <w:rsid w:val="00AD2AD6"/>
    <w:rsid w:val="00AD301B"/>
    <w:rsid w:val="00AD3959"/>
    <w:rsid w:val="00AD39DA"/>
    <w:rsid w:val="00AD4151"/>
    <w:rsid w:val="00AD41E6"/>
    <w:rsid w:val="00AD41FE"/>
    <w:rsid w:val="00AD43B3"/>
    <w:rsid w:val="00AD483D"/>
    <w:rsid w:val="00AD4966"/>
    <w:rsid w:val="00AD4CEA"/>
    <w:rsid w:val="00AD4F46"/>
    <w:rsid w:val="00AD4FEA"/>
    <w:rsid w:val="00AD5234"/>
    <w:rsid w:val="00AD54BA"/>
    <w:rsid w:val="00AD5659"/>
    <w:rsid w:val="00AD6712"/>
    <w:rsid w:val="00AD6BBA"/>
    <w:rsid w:val="00AD6FD6"/>
    <w:rsid w:val="00AD7153"/>
    <w:rsid w:val="00AD74CA"/>
    <w:rsid w:val="00AD7633"/>
    <w:rsid w:val="00AD7792"/>
    <w:rsid w:val="00AD7F1A"/>
    <w:rsid w:val="00AE00F2"/>
    <w:rsid w:val="00AE031E"/>
    <w:rsid w:val="00AE0360"/>
    <w:rsid w:val="00AE03E3"/>
    <w:rsid w:val="00AE0869"/>
    <w:rsid w:val="00AE0913"/>
    <w:rsid w:val="00AE0D5C"/>
    <w:rsid w:val="00AE1A02"/>
    <w:rsid w:val="00AE1A98"/>
    <w:rsid w:val="00AE2D41"/>
    <w:rsid w:val="00AE2DC0"/>
    <w:rsid w:val="00AE37B1"/>
    <w:rsid w:val="00AE392B"/>
    <w:rsid w:val="00AE4190"/>
    <w:rsid w:val="00AE477B"/>
    <w:rsid w:val="00AE48B5"/>
    <w:rsid w:val="00AE4B35"/>
    <w:rsid w:val="00AE4CE2"/>
    <w:rsid w:val="00AE5045"/>
    <w:rsid w:val="00AE50C4"/>
    <w:rsid w:val="00AE52FF"/>
    <w:rsid w:val="00AE53FA"/>
    <w:rsid w:val="00AE5476"/>
    <w:rsid w:val="00AE57F3"/>
    <w:rsid w:val="00AE5A14"/>
    <w:rsid w:val="00AE5E93"/>
    <w:rsid w:val="00AE608C"/>
    <w:rsid w:val="00AE62B3"/>
    <w:rsid w:val="00AE6497"/>
    <w:rsid w:val="00AE69D5"/>
    <w:rsid w:val="00AE6A13"/>
    <w:rsid w:val="00AE6D1F"/>
    <w:rsid w:val="00AE70AF"/>
    <w:rsid w:val="00AE71AA"/>
    <w:rsid w:val="00AE71C8"/>
    <w:rsid w:val="00AE7922"/>
    <w:rsid w:val="00AE7E83"/>
    <w:rsid w:val="00AE7F66"/>
    <w:rsid w:val="00AF04D7"/>
    <w:rsid w:val="00AF06C7"/>
    <w:rsid w:val="00AF0B71"/>
    <w:rsid w:val="00AF11CD"/>
    <w:rsid w:val="00AF195B"/>
    <w:rsid w:val="00AF1A8A"/>
    <w:rsid w:val="00AF1BFB"/>
    <w:rsid w:val="00AF1E5E"/>
    <w:rsid w:val="00AF26AB"/>
    <w:rsid w:val="00AF2C1B"/>
    <w:rsid w:val="00AF3030"/>
    <w:rsid w:val="00AF326C"/>
    <w:rsid w:val="00AF35C4"/>
    <w:rsid w:val="00AF410C"/>
    <w:rsid w:val="00AF4402"/>
    <w:rsid w:val="00AF4444"/>
    <w:rsid w:val="00AF462A"/>
    <w:rsid w:val="00AF4967"/>
    <w:rsid w:val="00AF54DC"/>
    <w:rsid w:val="00AF5689"/>
    <w:rsid w:val="00AF5693"/>
    <w:rsid w:val="00AF57BB"/>
    <w:rsid w:val="00AF5977"/>
    <w:rsid w:val="00AF5ABF"/>
    <w:rsid w:val="00AF5E37"/>
    <w:rsid w:val="00AF61C4"/>
    <w:rsid w:val="00AF6334"/>
    <w:rsid w:val="00AF63CF"/>
    <w:rsid w:val="00AF68EA"/>
    <w:rsid w:val="00AF6D7B"/>
    <w:rsid w:val="00AF73B4"/>
    <w:rsid w:val="00AF74A7"/>
    <w:rsid w:val="00AF75BF"/>
    <w:rsid w:val="00AF7754"/>
    <w:rsid w:val="00AF7FCB"/>
    <w:rsid w:val="00B002C1"/>
    <w:rsid w:val="00B00977"/>
    <w:rsid w:val="00B00A13"/>
    <w:rsid w:val="00B00E15"/>
    <w:rsid w:val="00B00F69"/>
    <w:rsid w:val="00B0146F"/>
    <w:rsid w:val="00B0177C"/>
    <w:rsid w:val="00B02545"/>
    <w:rsid w:val="00B025B5"/>
    <w:rsid w:val="00B025D5"/>
    <w:rsid w:val="00B02866"/>
    <w:rsid w:val="00B02893"/>
    <w:rsid w:val="00B02D3D"/>
    <w:rsid w:val="00B02EB6"/>
    <w:rsid w:val="00B03728"/>
    <w:rsid w:val="00B048C8"/>
    <w:rsid w:val="00B049AA"/>
    <w:rsid w:val="00B04FEA"/>
    <w:rsid w:val="00B0559F"/>
    <w:rsid w:val="00B05B91"/>
    <w:rsid w:val="00B05D34"/>
    <w:rsid w:val="00B0630A"/>
    <w:rsid w:val="00B06575"/>
    <w:rsid w:val="00B06842"/>
    <w:rsid w:val="00B06E27"/>
    <w:rsid w:val="00B07147"/>
    <w:rsid w:val="00B071C3"/>
    <w:rsid w:val="00B072C0"/>
    <w:rsid w:val="00B07614"/>
    <w:rsid w:val="00B07698"/>
    <w:rsid w:val="00B078BB"/>
    <w:rsid w:val="00B0798E"/>
    <w:rsid w:val="00B07B12"/>
    <w:rsid w:val="00B07E71"/>
    <w:rsid w:val="00B100B4"/>
    <w:rsid w:val="00B10610"/>
    <w:rsid w:val="00B10679"/>
    <w:rsid w:val="00B10BCE"/>
    <w:rsid w:val="00B10D55"/>
    <w:rsid w:val="00B10FD2"/>
    <w:rsid w:val="00B111C4"/>
    <w:rsid w:val="00B11207"/>
    <w:rsid w:val="00B114D0"/>
    <w:rsid w:val="00B1152F"/>
    <w:rsid w:val="00B1157C"/>
    <w:rsid w:val="00B11DD4"/>
    <w:rsid w:val="00B11F3C"/>
    <w:rsid w:val="00B1223F"/>
    <w:rsid w:val="00B122FA"/>
    <w:rsid w:val="00B12313"/>
    <w:rsid w:val="00B12890"/>
    <w:rsid w:val="00B12AED"/>
    <w:rsid w:val="00B12BD7"/>
    <w:rsid w:val="00B12F00"/>
    <w:rsid w:val="00B1378E"/>
    <w:rsid w:val="00B13B17"/>
    <w:rsid w:val="00B13CA5"/>
    <w:rsid w:val="00B1463A"/>
    <w:rsid w:val="00B14C48"/>
    <w:rsid w:val="00B15109"/>
    <w:rsid w:val="00B154AA"/>
    <w:rsid w:val="00B15557"/>
    <w:rsid w:val="00B15B1A"/>
    <w:rsid w:val="00B15CF5"/>
    <w:rsid w:val="00B15DE3"/>
    <w:rsid w:val="00B15E73"/>
    <w:rsid w:val="00B15ED7"/>
    <w:rsid w:val="00B16104"/>
    <w:rsid w:val="00B163EE"/>
    <w:rsid w:val="00B165ED"/>
    <w:rsid w:val="00B166C3"/>
    <w:rsid w:val="00B1686F"/>
    <w:rsid w:val="00B1696C"/>
    <w:rsid w:val="00B16BC3"/>
    <w:rsid w:val="00B16ECD"/>
    <w:rsid w:val="00B16F8A"/>
    <w:rsid w:val="00B1718E"/>
    <w:rsid w:val="00B1728A"/>
    <w:rsid w:val="00B17AF2"/>
    <w:rsid w:val="00B17D2F"/>
    <w:rsid w:val="00B17EAC"/>
    <w:rsid w:val="00B17F5A"/>
    <w:rsid w:val="00B2035D"/>
    <w:rsid w:val="00B205CE"/>
    <w:rsid w:val="00B20689"/>
    <w:rsid w:val="00B2077F"/>
    <w:rsid w:val="00B20F25"/>
    <w:rsid w:val="00B20F6D"/>
    <w:rsid w:val="00B212C1"/>
    <w:rsid w:val="00B2138E"/>
    <w:rsid w:val="00B21469"/>
    <w:rsid w:val="00B2165F"/>
    <w:rsid w:val="00B217E6"/>
    <w:rsid w:val="00B21CCA"/>
    <w:rsid w:val="00B21DFA"/>
    <w:rsid w:val="00B223C9"/>
    <w:rsid w:val="00B2240E"/>
    <w:rsid w:val="00B22596"/>
    <w:rsid w:val="00B22F51"/>
    <w:rsid w:val="00B22FA8"/>
    <w:rsid w:val="00B230C9"/>
    <w:rsid w:val="00B231A7"/>
    <w:rsid w:val="00B2374A"/>
    <w:rsid w:val="00B23757"/>
    <w:rsid w:val="00B238CD"/>
    <w:rsid w:val="00B23D0E"/>
    <w:rsid w:val="00B2458A"/>
    <w:rsid w:val="00B24970"/>
    <w:rsid w:val="00B24C5B"/>
    <w:rsid w:val="00B24F48"/>
    <w:rsid w:val="00B25212"/>
    <w:rsid w:val="00B252E0"/>
    <w:rsid w:val="00B2573D"/>
    <w:rsid w:val="00B25947"/>
    <w:rsid w:val="00B25A5D"/>
    <w:rsid w:val="00B25DC2"/>
    <w:rsid w:val="00B25DE8"/>
    <w:rsid w:val="00B25EF1"/>
    <w:rsid w:val="00B26017"/>
    <w:rsid w:val="00B2639B"/>
    <w:rsid w:val="00B26B2D"/>
    <w:rsid w:val="00B26E7A"/>
    <w:rsid w:val="00B27199"/>
    <w:rsid w:val="00B2745F"/>
    <w:rsid w:val="00B27736"/>
    <w:rsid w:val="00B2785B"/>
    <w:rsid w:val="00B27A57"/>
    <w:rsid w:val="00B3028E"/>
    <w:rsid w:val="00B30DCE"/>
    <w:rsid w:val="00B30EB8"/>
    <w:rsid w:val="00B31536"/>
    <w:rsid w:val="00B31836"/>
    <w:rsid w:val="00B31AB9"/>
    <w:rsid w:val="00B31CF2"/>
    <w:rsid w:val="00B3213B"/>
    <w:rsid w:val="00B32485"/>
    <w:rsid w:val="00B324E5"/>
    <w:rsid w:val="00B32E2B"/>
    <w:rsid w:val="00B337EA"/>
    <w:rsid w:val="00B33AC0"/>
    <w:rsid w:val="00B33B51"/>
    <w:rsid w:val="00B3409D"/>
    <w:rsid w:val="00B340D2"/>
    <w:rsid w:val="00B346D2"/>
    <w:rsid w:val="00B348E3"/>
    <w:rsid w:val="00B34ACB"/>
    <w:rsid w:val="00B34B9D"/>
    <w:rsid w:val="00B34DDC"/>
    <w:rsid w:val="00B35137"/>
    <w:rsid w:val="00B358DA"/>
    <w:rsid w:val="00B35932"/>
    <w:rsid w:val="00B35CDD"/>
    <w:rsid w:val="00B36028"/>
    <w:rsid w:val="00B36146"/>
    <w:rsid w:val="00B362B6"/>
    <w:rsid w:val="00B36A8D"/>
    <w:rsid w:val="00B36DF7"/>
    <w:rsid w:val="00B37159"/>
    <w:rsid w:val="00B374C0"/>
    <w:rsid w:val="00B376F2"/>
    <w:rsid w:val="00B37AB7"/>
    <w:rsid w:val="00B37E77"/>
    <w:rsid w:val="00B40121"/>
    <w:rsid w:val="00B4054E"/>
    <w:rsid w:val="00B4069C"/>
    <w:rsid w:val="00B409E0"/>
    <w:rsid w:val="00B40BE2"/>
    <w:rsid w:val="00B41226"/>
    <w:rsid w:val="00B41770"/>
    <w:rsid w:val="00B4192B"/>
    <w:rsid w:val="00B41CF7"/>
    <w:rsid w:val="00B41DD5"/>
    <w:rsid w:val="00B4205E"/>
    <w:rsid w:val="00B421A5"/>
    <w:rsid w:val="00B4257E"/>
    <w:rsid w:val="00B43072"/>
    <w:rsid w:val="00B432B1"/>
    <w:rsid w:val="00B43368"/>
    <w:rsid w:val="00B4383C"/>
    <w:rsid w:val="00B439D5"/>
    <w:rsid w:val="00B43A90"/>
    <w:rsid w:val="00B43AF7"/>
    <w:rsid w:val="00B43C57"/>
    <w:rsid w:val="00B4400C"/>
    <w:rsid w:val="00B44AB9"/>
    <w:rsid w:val="00B44C17"/>
    <w:rsid w:val="00B44C6B"/>
    <w:rsid w:val="00B44FCF"/>
    <w:rsid w:val="00B44FF5"/>
    <w:rsid w:val="00B45118"/>
    <w:rsid w:val="00B45665"/>
    <w:rsid w:val="00B45A3A"/>
    <w:rsid w:val="00B45E02"/>
    <w:rsid w:val="00B461A8"/>
    <w:rsid w:val="00B463B7"/>
    <w:rsid w:val="00B47CD8"/>
    <w:rsid w:val="00B509B0"/>
    <w:rsid w:val="00B511A1"/>
    <w:rsid w:val="00B51261"/>
    <w:rsid w:val="00B51E4B"/>
    <w:rsid w:val="00B51FD2"/>
    <w:rsid w:val="00B525C0"/>
    <w:rsid w:val="00B52BDE"/>
    <w:rsid w:val="00B541FB"/>
    <w:rsid w:val="00B54CEC"/>
    <w:rsid w:val="00B54FF1"/>
    <w:rsid w:val="00B55073"/>
    <w:rsid w:val="00B555FE"/>
    <w:rsid w:val="00B55BAB"/>
    <w:rsid w:val="00B55C76"/>
    <w:rsid w:val="00B55D7A"/>
    <w:rsid w:val="00B55EFB"/>
    <w:rsid w:val="00B56056"/>
    <w:rsid w:val="00B568B8"/>
    <w:rsid w:val="00B57648"/>
    <w:rsid w:val="00B57E32"/>
    <w:rsid w:val="00B6044A"/>
    <w:rsid w:val="00B607AB"/>
    <w:rsid w:val="00B607D3"/>
    <w:rsid w:val="00B607DB"/>
    <w:rsid w:val="00B60869"/>
    <w:rsid w:val="00B60985"/>
    <w:rsid w:val="00B60E25"/>
    <w:rsid w:val="00B60ED0"/>
    <w:rsid w:val="00B61B55"/>
    <w:rsid w:val="00B61F6D"/>
    <w:rsid w:val="00B6251B"/>
    <w:rsid w:val="00B62576"/>
    <w:rsid w:val="00B62C0D"/>
    <w:rsid w:val="00B62F06"/>
    <w:rsid w:val="00B63223"/>
    <w:rsid w:val="00B635C0"/>
    <w:rsid w:val="00B63C36"/>
    <w:rsid w:val="00B63D87"/>
    <w:rsid w:val="00B63FE4"/>
    <w:rsid w:val="00B64075"/>
    <w:rsid w:val="00B64432"/>
    <w:rsid w:val="00B6458A"/>
    <w:rsid w:val="00B645A5"/>
    <w:rsid w:val="00B64600"/>
    <w:rsid w:val="00B64A05"/>
    <w:rsid w:val="00B64C3C"/>
    <w:rsid w:val="00B65332"/>
    <w:rsid w:val="00B654E8"/>
    <w:rsid w:val="00B6572B"/>
    <w:rsid w:val="00B65886"/>
    <w:rsid w:val="00B658BD"/>
    <w:rsid w:val="00B669A2"/>
    <w:rsid w:val="00B66A7B"/>
    <w:rsid w:val="00B66DF0"/>
    <w:rsid w:val="00B67072"/>
    <w:rsid w:val="00B6709E"/>
    <w:rsid w:val="00B670A8"/>
    <w:rsid w:val="00B6712F"/>
    <w:rsid w:val="00B672B5"/>
    <w:rsid w:val="00B675A0"/>
    <w:rsid w:val="00B677FA"/>
    <w:rsid w:val="00B6799B"/>
    <w:rsid w:val="00B67A3D"/>
    <w:rsid w:val="00B67CF9"/>
    <w:rsid w:val="00B7024B"/>
    <w:rsid w:val="00B70F9B"/>
    <w:rsid w:val="00B711B2"/>
    <w:rsid w:val="00B714B1"/>
    <w:rsid w:val="00B717AF"/>
    <w:rsid w:val="00B717D3"/>
    <w:rsid w:val="00B71FFF"/>
    <w:rsid w:val="00B724EA"/>
    <w:rsid w:val="00B72971"/>
    <w:rsid w:val="00B72DC6"/>
    <w:rsid w:val="00B731C6"/>
    <w:rsid w:val="00B7386C"/>
    <w:rsid w:val="00B74340"/>
    <w:rsid w:val="00B74541"/>
    <w:rsid w:val="00B749DE"/>
    <w:rsid w:val="00B74E41"/>
    <w:rsid w:val="00B74F58"/>
    <w:rsid w:val="00B7530D"/>
    <w:rsid w:val="00B756BD"/>
    <w:rsid w:val="00B759B9"/>
    <w:rsid w:val="00B75AD8"/>
    <w:rsid w:val="00B75F45"/>
    <w:rsid w:val="00B760F1"/>
    <w:rsid w:val="00B76257"/>
    <w:rsid w:val="00B762DE"/>
    <w:rsid w:val="00B766DF"/>
    <w:rsid w:val="00B76C93"/>
    <w:rsid w:val="00B76DA5"/>
    <w:rsid w:val="00B76FD5"/>
    <w:rsid w:val="00B772A1"/>
    <w:rsid w:val="00B77B63"/>
    <w:rsid w:val="00B80118"/>
    <w:rsid w:val="00B805D5"/>
    <w:rsid w:val="00B80704"/>
    <w:rsid w:val="00B80726"/>
    <w:rsid w:val="00B80AE1"/>
    <w:rsid w:val="00B80C6A"/>
    <w:rsid w:val="00B81182"/>
    <w:rsid w:val="00B8120B"/>
    <w:rsid w:val="00B81329"/>
    <w:rsid w:val="00B81F59"/>
    <w:rsid w:val="00B8210E"/>
    <w:rsid w:val="00B824BA"/>
    <w:rsid w:val="00B826D3"/>
    <w:rsid w:val="00B82858"/>
    <w:rsid w:val="00B82B06"/>
    <w:rsid w:val="00B83755"/>
    <w:rsid w:val="00B837A4"/>
    <w:rsid w:val="00B838B6"/>
    <w:rsid w:val="00B838CD"/>
    <w:rsid w:val="00B8396B"/>
    <w:rsid w:val="00B83A87"/>
    <w:rsid w:val="00B83C48"/>
    <w:rsid w:val="00B83D0B"/>
    <w:rsid w:val="00B84044"/>
    <w:rsid w:val="00B840D2"/>
    <w:rsid w:val="00B84419"/>
    <w:rsid w:val="00B84577"/>
    <w:rsid w:val="00B845EE"/>
    <w:rsid w:val="00B846F4"/>
    <w:rsid w:val="00B84B74"/>
    <w:rsid w:val="00B84E71"/>
    <w:rsid w:val="00B84EC5"/>
    <w:rsid w:val="00B8553E"/>
    <w:rsid w:val="00B857AD"/>
    <w:rsid w:val="00B85A86"/>
    <w:rsid w:val="00B86642"/>
    <w:rsid w:val="00B869B6"/>
    <w:rsid w:val="00B869C2"/>
    <w:rsid w:val="00B869EF"/>
    <w:rsid w:val="00B86B54"/>
    <w:rsid w:val="00B8706E"/>
    <w:rsid w:val="00B874A9"/>
    <w:rsid w:val="00B87B6A"/>
    <w:rsid w:val="00B90956"/>
    <w:rsid w:val="00B90FEF"/>
    <w:rsid w:val="00B910FC"/>
    <w:rsid w:val="00B912C3"/>
    <w:rsid w:val="00B91482"/>
    <w:rsid w:val="00B915F4"/>
    <w:rsid w:val="00B91D5A"/>
    <w:rsid w:val="00B9203C"/>
    <w:rsid w:val="00B927A8"/>
    <w:rsid w:val="00B92A47"/>
    <w:rsid w:val="00B92DA1"/>
    <w:rsid w:val="00B92FDD"/>
    <w:rsid w:val="00B930D5"/>
    <w:rsid w:val="00B93181"/>
    <w:rsid w:val="00B93199"/>
    <w:rsid w:val="00B931BC"/>
    <w:rsid w:val="00B9397F"/>
    <w:rsid w:val="00B93A0D"/>
    <w:rsid w:val="00B93D69"/>
    <w:rsid w:val="00B9424D"/>
    <w:rsid w:val="00B9439D"/>
    <w:rsid w:val="00B94608"/>
    <w:rsid w:val="00B94819"/>
    <w:rsid w:val="00B94A4E"/>
    <w:rsid w:val="00B94D58"/>
    <w:rsid w:val="00B94D95"/>
    <w:rsid w:val="00B9504A"/>
    <w:rsid w:val="00B959D2"/>
    <w:rsid w:val="00B959EC"/>
    <w:rsid w:val="00B95B1A"/>
    <w:rsid w:val="00B9603A"/>
    <w:rsid w:val="00B960C3"/>
    <w:rsid w:val="00B9628B"/>
    <w:rsid w:val="00B96543"/>
    <w:rsid w:val="00B965D9"/>
    <w:rsid w:val="00B9672D"/>
    <w:rsid w:val="00B9674B"/>
    <w:rsid w:val="00B969A2"/>
    <w:rsid w:val="00B96B4C"/>
    <w:rsid w:val="00B96C07"/>
    <w:rsid w:val="00B96E3B"/>
    <w:rsid w:val="00B96EC4"/>
    <w:rsid w:val="00B96F32"/>
    <w:rsid w:val="00B96F71"/>
    <w:rsid w:val="00B972B7"/>
    <w:rsid w:val="00B974CF"/>
    <w:rsid w:val="00B974DF"/>
    <w:rsid w:val="00B97D98"/>
    <w:rsid w:val="00B97F79"/>
    <w:rsid w:val="00BA04D0"/>
    <w:rsid w:val="00BA0769"/>
    <w:rsid w:val="00BA08C2"/>
    <w:rsid w:val="00BA0BF6"/>
    <w:rsid w:val="00BA0C74"/>
    <w:rsid w:val="00BA0E68"/>
    <w:rsid w:val="00BA12C7"/>
    <w:rsid w:val="00BA179D"/>
    <w:rsid w:val="00BA1DD9"/>
    <w:rsid w:val="00BA1EA0"/>
    <w:rsid w:val="00BA2343"/>
    <w:rsid w:val="00BA273C"/>
    <w:rsid w:val="00BA2C8C"/>
    <w:rsid w:val="00BA3010"/>
    <w:rsid w:val="00BA3A68"/>
    <w:rsid w:val="00BA3CA1"/>
    <w:rsid w:val="00BA3CD6"/>
    <w:rsid w:val="00BA3D80"/>
    <w:rsid w:val="00BA3E75"/>
    <w:rsid w:val="00BA3F59"/>
    <w:rsid w:val="00BA44B7"/>
    <w:rsid w:val="00BA45DC"/>
    <w:rsid w:val="00BA4BE9"/>
    <w:rsid w:val="00BA4D7A"/>
    <w:rsid w:val="00BA5300"/>
    <w:rsid w:val="00BA5311"/>
    <w:rsid w:val="00BA594B"/>
    <w:rsid w:val="00BA5A56"/>
    <w:rsid w:val="00BA5DDA"/>
    <w:rsid w:val="00BA5E65"/>
    <w:rsid w:val="00BA6472"/>
    <w:rsid w:val="00BA69A6"/>
    <w:rsid w:val="00BA6A80"/>
    <w:rsid w:val="00BA6F90"/>
    <w:rsid w:val="00BA7324"/>
    <w:rsid w:val="00BA79D6"/>
    <w:rsid w:val="00BB0444"/>
    <w:rsid w:val="00BB0516"/>
    <w:rsid w:val="00BB09AC"/>
    <w:rsid w:val="00BB0A09"/>
    <w:rsid w:val="00BB0BE5"/>
    <w:rsid w:val="00BB0FFC"/>
    <w:rsid w:val="00BB100F"/>
    <w:rsid w:val="00BB106B"/>
    <w:rsid w:val="00BB1A58"/>
    <w:rsid w:val="00BB1FCC"/>
    <w:rsid w:val="00BB21FD"/>
    <w:rsid w:val="00BB247B"/>
    <w:rsid w:val="00BB2B6E"/>
    <w:rsid w:val="00BB2E2B"/>
    <w:rsid w:val="00BB2F34"/>
    <w:rsid w:val="00BB3492"/>
    <w:rsid w:val="00BB394C"/>
    <w:rsid w:val="00BB3ACD"/>
    <w:rsid w:val="00BB3DBD"/>
    <w:rsid w:val="00BB41A4"/>
    <w:rsid w:val="00BB43AC"/>
    <w:rsid w:val="00BB47FA"/>
    <w:rsid w:val="00BB4850"/>
    <w:rsid w:val="00BB4C51"/>
    <w:rsid w:val="00BB50D5"/>
    <w:rsid w:val="00BB523A"/>
    <w:rsid w:val="00BB5384"/>
    <w:rsid w:val="00BB5412"/>
    <w:rsid w:val="00BB57B0"/>
    <w:rsid w:val="00BB5BC5"/>
    <w:rsid w:val="00BB6723"/>
    <w:rsid w:val="00BB6796"/>
    <w:rsid w:val="00BB681A"/>
    <w:rsid w:val="00BB6B0E"/>
    <w:rsid w:val="00BB6D83"/>
    <w:rsid w:val="00BB6E6C"/>
    <w:rsid w:val="00BB706E"/>
    <w:rsid w:val="00BB73DD"/>
    <w:rsid w:val="00BB755D"/>
    <w:rsid w:val="00BB7F79"/>
    <w:rsid w:val="00BC0092"/>
    <w:rsid w:val="00BC060E"/>
    <w:rsid w:val="00BC06E0"/>
    <w:rsid w:val="00BC07A4"/>
    <w:rsid w:val="00BC07C8"/>
    <w:rsid w:val="00BC0871"/>
    <w:rsid w:val="00BC0E39"/>
    <w:rsid w:val="00BC0E9E"/>
    <w:rsid w:val="00BC10EA"/>
    <w:rsid w:val="00BC1290"/>
    <w:rsid w:val="00BC14A0"/>
    <w:rsid w:val="00BC1553"/>
    <w:rsid w:val="00BC1CCF"/>
    <w:rsid w:val="00BC1DE3"/>
    <w:rsid w:val="00BC2113"/>
    <w:rsid w:val="00BC2141"/>
    <w:rsid w:val="00BC229E"/>
    <w:rsid w:val="00BC233B"/>
    <w:rsid w:val="00BC2397"/>
    <w:rsid w:val="00BC266D"/>
    <w:rsid w:val="00BC276F"/>
    <w:rsid w:val="00BC297C"/>
    <w:rsid w:val="00BC2A81"/>
    <w:rsid w:val="00BC2B74"/>
    <w:rsid w:val="00BC2CE2"/>
    <w:rsid w:val="00BC2D0E"/>
    <w:rsid w:val="00BC2EA7"/>
    <w:rsid w:val="00BC334A"/>
    <w:rsid w:val="00BC3380"/>
    <w:rsid w:val="00BC3750"/>
    <w:rsid w:val="00BC3A3C"/>
    <w:rsid w:val="00BC3CE9"/>
    <w:rsid w:val="00BC3DD4"/>
    <w:rsid w:val="00BC3E01"/>
    <w:rsid w:val="00BC4415"/>
    <w:rsid w:val="00BC4679"/>
    <w:rsid w:val="00BC4717"/>
    <w:rsid w:val="00BC47FC"/>
    <w:rsid w:val="00BC48C0"/>
    <w:rsid w:val="00BC4B34"/>
    <w:rsid w:val="00BC4E31"/>
    <w:rsid w:val="00BC510A"/>
    <w:rsid w:val="00BC6D41"/>
    <w:rsid w:val="00BD00BB"/>
    <w:rsid w:val="00BD00C9"/>
    <w:rsid w:val="00BD03A6"/>
    <w:rsid w:val="00BD0568"/>
    <w:rsid w:val="00BD0658"/>
    <w:rsid w:val="00BD0941"/>
    <w:rsid w:val="00BD0BE3"/>
    <w:rsid w:val="00BD0D22"/>
    <w:rsid w:val="00BD0E9F"/>
    <w:rsid w:val="00BD10CA"/>
    <w:rsid w:val="00BD11FD"/>
    <w:rsid w:val="00BD131D"/>
    <w:rsid w:val="00BD161D"/>
    <w:rsid w:val="00BD18CE"/>
    <w:rsid w:val="00BD22C9"/>
    <w:rsid w:val="00BD2CF5"/>
    <w:rsid w:val="00BD3C04"/>
    <w:rsid w:val="00BD3C0C"/>
    <w:rsid w:val="00BD465D"/>
    <w:rsid w:val="00BD4681"/>
    <w:rsid w:val="00BD4F51"/>
    <w:rsid w:val="00BD5169"/>
    <w:rsid w:val="00BD51DC"/>
    <w:rsid w:val="00BD522D"/>
    <w:rsid w:val="00BD54B6"/>
    <w:rsid w:val="00BD5660"/>
    <w:rsid w:val="00BD5B2B"/>
    <w:rsid w:val="00BD5B66"/>
    <w:rsid w:val="00BD5EFB"/>
    <w:rsid w:val="00BD6694"/>
    <w:rsid w:val="00BD6748"/>
    <w:rsid w:val="00BD675E"/>
    <w:rsid w:val="00BD71BA"/>
    <w:rsid w:val="00BD7343"/>
    <w:rsid w:val="00BD7484"/>
    <w:rsid w:val="00BD7611"/>
    <w:rsid w:val="00BD7B89"/>
    <w:rsid w:val="00BD7D2D"/>
    <w:rsid w:val="00BD7F5C"/>
    <w:rsid w:val="00BE003D"/>
    <w:rsid w:val="00BE0585"/>
    <w:rsid w:val="00BE0B86"/>
    <w:rsid w:val="00BE0D9D"/>
    <w:rsid w:val="00BE0E6B"/>
    <w:rsid w:val="00BE1555"/>
    <w:rsid w:val="00BE17C4"/>
    <w:rsid w:val="00BE1A74"/>
    <w:rsid w:val="00BE1AC4"/>
    <w:rsid w:val="00BE1ACE"/>
    <w:rsid w:val="00BE1E9F"/>
    <w:rsid w:val="00BE20B4"/>
    <w:rsid w:val="00BE2C41"/>
    <w:rsid w:val="00BE354C"/>
    <w:rsid w:val="00BE37D2"/>
    <w:rsid w:val="00BE3994"/>
    <w:rsid w:val="00BE3BDE"/>
    <w:rsid w:val="00BE4402"/>
    <w:rsid w:val="00BE5239"/>
    <w:rsid w:val="00BE5355"/>
    <w:rsid w:val="00BE5533"/>
    <w:rsid w:val="00BE555D"/>
    <w:rsid w:val="00BE5C1E"/>
    <w:rsid w:val="00BE5FDE"/>
    <w:rsid w:val="00BE66A1"/>
    <w:rsid w:val="00BE68D4"/>
    <w:rsid w:val="00BE6EB1"/>
    <w:rsid w:val="00BE6FCC"/>
    <w:rsid w:val="00BE70CD"/>
    <w:rsid w:val="00BE73DB"/>
    <w:rsid w:val="00BF001A"/>
    <w:rsid w:val="00BF030A"/>
    <w:rsid w:val="00BF0746"/>
    <w:rsid w:val="00BF09A7"/>
    <w:rsid w:val="00BF0C43"/>
    <w:rsid w:val="00BF133D"/>
    <w:rsid w:val="00BF14A7"/>
    <w:rsid w:val="00BF16BF"/>
    <w:rsid w:val="00BF1771"/>
    <w:rsid w:val="00BF17F7"/>
    <w:rsid w:val="00BF1850"/>
    <w:rsid w:val="00BF19DC"/>
    <w:rsid w:val="00BF1A57"/>
    <w:rsid w:val="00BF1C08"/>
    <w:rsid w:val="00BF25F4"/>
    <w:rsid w:val="00BF2632"/>
    <w:rsid w:val="00BF2664"/>
    <w:rsid w:val="00BF26AE"/>
    <w:rsid w:val="00BF297C"/>
    <w:rsid w:val="00BF2990"/>
    <w:rsid w:val="00BF2BB5"/>
    <w:rsid w:val="00BF3039"/>
    <w:rsid w:val="00BF315F"/>
    <w:rsid w:val="00BF3204"/>
    <w:rsid w:val="00BF33DA"/>
    <w:rsid w:val="00BF34EA"/>
    <w:rsid w:val="00BF3BF3"/>
    <w:rsid w:val="00BF3DC5"/>
    <w:rsid w:val="00BF3F4C"/>
    <w:rsid w:val="00BF4087"/>
    <w:rsid w:val="00BF431D"/>
    <w:rsid w:val="00BF45FA"/>
    <w:rsid w:val="00BF4A2B"/>
    <w:rsid w:val="00BF4A80"/>
    <w:rsid w:val="00BF4EDC"/>
    <w:rsid w:val="00BF514C"/>
    <w:rsid w:val="00BF54AD"/>
    <w:rsid w:val="00BF54F4"/>
    <w:rsid w:val="00BF565D"/>
    <w:rsid w:val="00BF5888"/>
    <w:rsid w:val="00BF58CC"/>
    <w:rsid w:val="00BF5A1B"/>
    <w:rsid w:val="00BF5D78"/>
    <w:rsid w:val="00BF6022"/>
    <w:rsid w:val="00BF6386"/>
    <w:rsid w:val="00BF6431"/>
    <w:rsid w:val="00BF6610"/>
    <w:rsid w:val="00BF7240"/>
    <w:rsid w:val="00BF7AFE"/>
    <w:rsid w:val="00BF7B2B"/>
    <w:rsid w:val="00BF7E01"/>
    <w:rsid w:val="00C000F8"/>
    <w:rsid w:val="00C002CB"/>
    <w:rsid w:val="00C0037A"/>
    <w:rsid w:val="00C003A4"/>
    <w:rsid w:val="00C00507"/>
    <w:rsid w:val="00C00766"/>
    <w:rsid w:val="00C0100F"/>
    <w:rsid w:val="00C012CC"/>
    <w:rsid w:val="00C01871"/>
    <w:rsid w:val="00C01EBD"/>
    <w:rsid w:val="00C0211E"/>
    <w:rsid w:val="00C023F5"/>
    <w:rsid w:val="00C0250E"/>
    <w:rsid w:val="00C02589"/>
    <w:rsid w:val="00C026D6"/>
    <w:rsid w:val="00C028F5"/>
    <w:rsid w:val="00C02A1C"/>
    <w:rsid w:val="00C02AAC"/>
    <w:rsid w:val="00C02C58"/>
    <w:rsid w:val="00C02E54"/>
    <w:rsid w:val="00C032F6"/>
    <w:rsid w:val="00C03F6A"/>
    <w:rsid w:val="00C04050"/>
    <w:rsid w:val="00C04052"/>
    <w:rsid w:val="00C04548"/>
    <w:rsid w:val="00C050DB"/>
    <w:rsid w:val="00C05131"/>
    <w:rsid w:val="00C052CC"/>
    <w:rsid w:val="00C0555B"/>
    <w:rsid w:val="00C05661"/>
    <w:rsid w:val="00C058A9"/>
    <w:rsid w:val="00C059DF"/>
    <w:rsid w:val="00C06093"/>
    <w:rsid w:val="00C062CC"/>
    <w:rsid w:val="00C064D4"/>
    <w:rsid w:val="00C06A8B"/>
    <w:rsid w:val="00C06CA0"/>
    <w:rsid w:val="00C073A6"/>
    <w:rsid w:val="00C07557"/>
    <w:rsid w:val="00C07ABD"/>
    <w:rsid w:val="00C07B64"/>
    <w:rsid w:val="00C07D27"/>
    <w:rsid w:val="00C07E3E"/>
    <w:rsid w:val="00C10090"/>
    <w:rsid w:val="00C10095"/>
    <w:rsid w:val="00C101EA"/>
    <w:rsid w:val="00C10312"/>
    <w:rsid w:val="00C1093E"/>
    <w:rsid w:val="00C10E44"/>
    <w:rsid w:val="00C1145A"/>
    <w:rsid w:val="00C1163A"/>
    <w:rsid w:val="00C117F3"/>
    <w:rsid w:val="00C118AF"/>
    <w:rsid w:val="00C11B87"/>
    <w:rsid w:val="00C11C58"/>
    <w:rsid w:val="00C11EFA"/>
    <w:rsid w:val="00C121AD"/>
    <w:rsid w:val="00C123C3"/>
    <w:rsid w:val="00C12686"/>
    <w:rsid w:val="00C12915"/>
    <w:rsid w:val="00C12A13"/>
    <w:rsid w:val="00C12B85"/>
    <w:rsid w:val="00C12CBF"/>
    <w:rsid w:val="00C136EF"/>
    <w:rsid w:val="00C13828"/>
    <w:rsid w:val="00C13BA7"/>
    <w:rsid w:val="00C14034"/>
    <w:rsid w:val="00C145E3"/>
    <w:rsid w:val="00C14A9A"/>
    <w:rsid w:val="00C14D89"/>
    <w:rsid w:val="00C14F3A"/>
    <w:rsid w:val="00C15846"/>
    <w:rsid w:val="00C15944"/>
    <w:rsid w:val="00C16017"/>
    <w:rsid w:val="00C16157"/>
    <w:rsid w:val="00C16265"/>
    <w:rsid w:val="00C16C7D"/>
    <w:rsid w:val="00C16CE3"/>
    <w:rsid w:val="00C16EC2"/>
    <w:rsid w:val="00C16F38"/>
    <w:rsid w:val="00C17441"/>
    <w:rsid w:val="00C17CFC"/>
    <w:rsid w:val="00C17E44"/>
    <w:rsid w:val="00C17FB9"/>
    <w:rsid w:val="00C206E9"/>
    <w:rsid w:val="00C20B46"/>
    <w:rsid w:val="00C20B50"/>
    <w:rsid w:val="00C20E4F"/>
    <w:rsid w:val="00C211B8"/>
    <w:rsid w:val="00C21241"/>
    <w:rsid w:val="00C212B2"/>
    <w:rsid w:val="00C21538"/>
    <w:rsid w:val="00C2156B"/>
    <w:rsid w:val="00C21801"/>
    <w:rsid w:val="00C21F02"/>
    <w:rsid w:val="00C21F56"/>
    <w:rsid w:val="00C221BD"/>
    <w:rsid w:val="00C2250B"/>
    <w:rsid w:val="00C227C9"/>
    <w:rsid w:val="00C2284C"/>
    <w:rsid w:val="00C22975"/>
    <w:rsid w:val="00C22BBB"/>
    <w:rsid w:val="00C22C7E"/>
    <w:rsid w:val="00C23110"/>
    <w:rsid w:val="00C23885"/>
    <w:rsid w:val="00C23951"/>
    <w:rsid w:val="00C23CC4"/>
    <w:rsid w:val="00C2405F"/>
    <w:rsid w:val="00C241FA"/>
    <w:rsid w:val="00C24489"/>
    <w:rsid w:val="00C244FB"/>
    <w:rsid w:val="00C249CA"/>
    <w:rsid w:val="00C24A0E"/>
    <w:rsid w:val="00C24A47"/>
    <w:rsid w:val="00C251D4"/>
    <w:rsid w:val="00C252F6"/>
    <w:rsid w:val="00C256A0"/>
    <w:rsid w:val="00C26644"/>
    <w:rsid w:val="00C269F6"/>
    <w:rsid w:val="00C26F4D"/>
    <w:rsid w:val="00C304DF"/>
    <w:rsid w:val="00C30F18"/>
    <w:rsid w:val="00C31232"/>
    <w:rsid w:val="00C312BA"/>
    <w:rsid w:val="00C315FE"/>
    <w:rsid w:val="00C32539"/>
    <w:rsid w:val="00C32611"/>
    <w:rsid w:val="00C32B03"/>
    <w:rsid w:val="00C32BAA"/>
    <w:rsid w:val="00C32C6C"/>
    <w:rsid w:val="00C32EC0"/>
    <w:rsid w:val="00C330C8"/>
    <w:rsid w:val="00C3316A"/>
    <w:rsid w:val="00C331F5"/>
    <w:rsid w:val="00C33244"/>
    <w:rsid w:val="00C332BD"/>
    <w:rsid w:val="00C334AD"/>
    <w:rsid w:val="00C33913"/>
    <w:rsid w:val="00C33C7E"/>
    <w:rsid w:val="00C33E98"/>
    <w:rsid w:val="00C3414D"/>
    <w:rsid w:val="00C34324"/>
    <w:rsid w:val="00C344AB"/>
    <w:rsid w:val="00C34AF0"/>
    <w:rsid w:val="00C34BBB"/>
    <w:rsid w:val="00C34C30"/>
    <w:rsid w:val="00C34FF5"/>
    <w:rsid w:val="00C3507E"/>
    <w:rsid w:val="00C350A6"/>
    <w:rsid w:val="00C353B9"/>
    <w:rsid w:val="00C35489"/>
    <w:rsid w:val="00C35C93"/>
    <w:rsid w:val="00C3644D"/>
    <w:rsid w:val="00C364E5"/>
    <w:rsid w:val="00C367AA"/>
    <w:rsid w:val="00C369BD"/>
    <w:rsid w:val="00C36C3A"/>
    <w:rsid w:val="00C36EBF"/>
    <w:rsid w:val="00C373F2"/>
    <w:rsid w:val="00C37773"/>
    <w:rsid w:val="00C37915"/>
    <w:rsid w:val="00C37C85"/>
    <w:rsid w:val="00C37DBA"/>
    <w:rsid w:val="00C400B1"/>
    <w:rsid w:val="00C4027C"/>
    <w:rsid w:val="00C40827"/>
    <w:rsid w:val="00C4088B"/>
    <w:rsid w:val="00C40B81"/>
    <w:rsid w:val="00C40C72"/>
    <w:rsid w:val="00C40F34"/>
    <w:rsid w:val="00C4114C"/>
    <w:rsid w:val="00C4172F"/>
    <w:rsid w:val="00C41B66"/>
    <w:rsid w:val="00C41D8D"/>
    <w:rsid w:val="00C42216"/>
    <w:rsid w:val="00C422EF"/>
    <w:rsid w:val="00C423E6"/>
    <w:rsid w:val="00C42401"/>
    <w:rsid w:val="00C427DD"/>
    <w:rsid w:val="00C42B87"/>
    <w:rsid w:val="00C42D2E"/>
    <w:rsid w:val="00C42E5B"/>
    <w:rsid w:val="00C43044"/>
    <w:rsid w:val="00C4331A"/>
    <w:rsid w:val="00C4375C"/>
    <w:rsid w:val="00C43C22"/>
    <w:rsid w:val="00C43C5E"/>
    <w:rsid w:val="00C43EF8"/>
    <w:rsid w:val="00C44341"/>
    <w:rsid w:val="00C44534"/>
    <w:rsid w:val="00C44B82"/>
    <w:rsid w:val="00C458D7"/>
    <w:rsid w:val="00C45E84"/>
    <w:rsid w:val="00C46121"/>
    <w:rsid w:val="00C461D9"/>
    <w:rsid w:val="00C4692B"/>
    <w:rsid w:val="00C46B27"/>
    <w:rsid w:val="00C46C46"/>
    <w:rsid w:val="00C47099"/>
    <w:rsid w:val="00C471CA"/>
    <w:rsid w:val="00C4723D"/>
    <w:rsid w:val="00C473DF"/>
    <w:rsid w:val="00C47709"/>
    <w:rsid w:val="00C47D6D"/>
    <w:rsid w:val="00C47ECF"/>
    <w:rsid w:val="00C502D8"/>
    <w:rsid w:val="00C50A2F"/>
    <w:rsid w:val="00C50A48"/>
    <w:rsid w:val="00C50B41"/>
    <w:rsid w:val="00C50BF9"/>
    <w:rsid w:val="00C50C5A"/>
    <w:rsid w:val="00C51055"/>
    <w:rsid w:val="00C51171"/>
    <w:rsid w:val="00C51366"/>
    <w:rsid w:val="00C51530"/>
    <w:rsid w:val="00C51977"/>
    <w:rsid w:val="00C51DB5"/>
    <w:rsid w:val="00C51DF8"/>
    <w:rsid w:val="00C52138"/>
    <w:rsid w:val="00C52616"/>
    <w:rsid w:val="00C52702"/>
    <w:rsid w:val="00C52DE4"/>
    <w:rsid w:val="00C5300D"/>
    <w:rsid w:val="00C53962"/>
    <w:rsid w:val="00C53C29"/>
    <w:rsid w:val="00C53CAE"/>
    <w:rsid w:val="00C53F5F"/>
    <w:rsid w:val="00C53FA9"/>
    <w:rsid w:val="00C548E5"/>
    <w:rsid w:val="00C549D4"/>
    <w:rsid w:val="00C54CF7"/>
    <w:rsid w:val="00C54F48"/>
    <w:rsid w:val="00C55024"/>
    <w:rsid w:val="00C553C9"/>
    <w:rsid w:val="00C55853"/>
    <w:rsid w:val="00C5586B"/>
    <w:rsid w:val="00C5587D"/>
    <w:rsid w:val="00C560C1"/>
    <w:rsid w:val="00C56108"/>
    <w:rsid w:val="00C56521"/>
    <w:rsid w:val="00C56904"/>
    <w:rsid w:val="00C569D9"/>
    <w:rsid w:val="00C56A2C"/>
    <w:rsid w:val="00C56A79"/>
    <w:rsid w:val="00C56BB1"/>
    <w:rsid w:val="00C56BF0"/>
    <w:rsid w:val="00C571D2"/>
    <w:rsid w:val="00C573B7"/>
    <w:rsid w:val="00C57446"/>
    <w:rsid w:val="00C574F7"/>
    <w:rsid w:val="00C57503"/>
    <w:rsid w:val="00C577C5"/>
    <w:rsid w:val="00C57DD9"/>
    <w:rsid w:val="00C57F6E"/>
    <w:rsid w:val="00C601AC"/>
    <w:rsid w:val="00C602C6"/>
    <w:rsid w:val="00C6050B"/>
    <w:rsid w:val="00C60649"/>
    <w:rsid w:val="00C60785"/>
    <w:rsid w:val="00C60BB3"/>
    <w:rsid w:val="00C60BF0"/>
    <w:rsid w:val="00C60BF9"/>
    <w:rsid w:val="00C613C5"/>
    <w:rsid w:val="00C61424"/>
    <w:rsid w:val="00C61447"/>
    <w:rsid w:val="00C61BC5"/>
    <w:rsid w:val="00C624CE"/>
    <w:rsid w:val="00C62680"/>
    <w:rsid w:val="00C626A4"/>
    <w:rsid w:val="00C62C19"/>
    <w:rsid w:val="00C62EC6"/>
    <w:rsid w:val="00C63559"/>
    <w:rsid w:val="00C635EC"/>
    <w:rsid w:val="00C637E4"/>
    <w:rsid w:val="00C637FE"/>
    <w:rsid w:val="00C63D11"/>
    <w:rsid w:val="00C63EFD"/>
    <w:rsid w:val="00C63F0D"/>
    <w:rsid w:val="00C64335"/>
    <w:rsid w:val="00C64937"/>
    <w:rsid w:val="00C65159"/>
    <w:rsid w:val="00C6560B"/>
    <w:rsid w:val="00C65E70"/>
    <w:rsid w:val="00C6640A"/>
    <w:rsid w:val="00C6662D"/>
    <w:rsid w:val="00C66952"/>
    <w:rsid w:val="00C669E6"/>
    <w:rsid w:val="00C669F9"/>
    <w:rsid w:val="00C66A45"/>
    <w:rsid w:val="00C66C01"/>
    <w:rsid w:val="00C6779D"/>
    <w:rsid w:val="00C67A01"/>
    <w:rsid w:val="00C70112"/>
    <w:rsid w:val="00C70206"/>
    <w:rsid w:val="00C70705"/>
    <w:rsid w:val="00C70AB7"/>
    <w:rsid w:val="00C70EFB"/>
    <w:rsid w:val="00C7126D"/>
    <w:rsid w:val="00C714D4"/>
    <w:rsid w:val="00C716C5"/>
    <w:rsid w:val="00C71935"/>
    <w:rsid w:val="00C71AE2"/>
    <w:rsid w:val="00C72198"/>
    <w:rsid w:val="00C725CB"/>
    <w:rsid w:val="00C729AF"/>
    <w:rsid w:val="00C7341F"/>
    <w:rsid w:val="00C73B95"/>
    <w:rsid w:val="00C73BEF"/>
    <w:rsid w:val="00C73CC9"/>
    <w:rsid w:val="00C73D96"/>
    <w:rsid w:val="00C74473"/>
    <w:rsid w:val="00C747C8"/>
    <w:rsid w:val="00C74A8F"/>
    <w:rsid w:val="00C74DBA"/>
    <w:rsid w:val="00C74EB9"/>
    <w:rsid w:val="00C757E4"/>
    <w:rsid w:val="00C75963"/>
    <w:rsid w:val="00C75C3B"/>
    <w:rsid w:val="00C767B3"/>
    <w:rsid w:val="00C774E1"/>
    <w:rsid w:val="00C778F1"/>
    <w:rsid w:val="00C77CD5"/>
    <w:rsid w:val="00C80028"/>
    <w:rsid w:val="00C80751"/>
    <w:rsid w:val="00C80AA8"/>
    <w:rsid w:val="00C80DC6"/>
    <w:rsid w:val="00C816C6"/>
    <w:rsid w:val="00C819C0"/>
    <w:rsid w:val="00C819F8"/>
    <w:rsid w:val="00C81BA5"/>
    <w:rsid w:val="00C82114"/>
    <w:rsid w:val="00C82599"/>
    <w:rsid w:val="00C8263E"/>
    <w:rsid w:val="00C827B2"/>
    <w:rsid w:val="00C82ED0"/>
    <w:rsid w:val="00C8395A"/>
    <w:rsid w:val="00C83B59"/>
    <w:rsid w:val="00C83DC6"/>
    <w:rsid w:val="00C84024"/>
    <w:rsid w:val="00C844DC"/>
    <w:rsid w:val="00C84BCB"/>
    <w:rsid w:val="00C84D3A"/>
    <w:rsid w:val="00C84EE5"/>
    <w:rsid w:val="00C851EB"/>
    <w:rsid w:val="00C859A7"/>
    <w:rsid w:val="00C85B9C"/>
    <w:rsid w:val="00C85FEB"/>
    <w:rsid w:val="00C86154"/>
    <w:rsid w:val="00C86DF3"/>
    <w:rsid w:val="00C8713A"/>
    <w:rsid w:val="00C872D8"/>
    <w:rsid w:val="00C87486"/>
    <w:rsid w:val="00C90295"/>
    <w:rsid w:val="00C902AB"/>
    <w:rsid w:val="00C90635"/>
    <w:rsid w:val="00C90750"/>
    <w:rsid w:val="00C908FB"/>
    <w:rsid w:val="00C914C0"/>
    <w:rsid w:val="00C91732"/>
    <w:rsid w:val="00C91C68"/>
    <w:rsid w:val="00C92051"/>
    <w:rsid w:val="00C921CD"/>
    <w:rsid w:val="00C92247"/>
    <w:rsid w:val="00C924E1"/>
    <w:rsid w:val="00C92A47"/>
    <w:rsid w:val="00C92F32"/>
    <w:rsid w:val="00C93238"/>
    <w:rsid w:val="00C938B5"/>
    <w:rsid w:val="00C9398C"/>
    <w:rsid w:val="00C9399B"/>
    <w:rsid w:val="00C93A3D"/>
    <w:rsid w:val="00C94235"/>
    <w:rsid w:val="00C9426D"/>
    <w:rsid w:val="00C94558"/>
    <w:rsid w:val="00C94796"/>
    <w:rsid w:val="00C94833"/>
    <w:rsid w:val="00C948DC"/>
    <w:rsid w:val="00C94AE7"/>
    <w:rsid w:val="00C94BB5"/>
    <w:rsid w:val="00C94F17"/>
    <w:rsid w:val="00C95123"/>
    <w:rsid w:val="00C9554A"/>
    <w:rsid w:val="00C9558E"/>
    <w:rsid w:val="00C95728"/>
    <w:rsid w:val="00C95F42"/>
    <w:rsid w:val="00C95F4A"/>
    <w:rsid w:val="00C966C9"/>
    <w:rsid w:val="00C9694E"/>
    <w:rsid w:val="00C97278"/>
    <w:rsid w:val="00C972B1"/>
    <w:rsid w:val="00C97387"/>
    <w:rsid w:val="00C974BD"/>
    <w:rsid w:val="00C97959"/>
    <w:rsid w:val="00C97C0E"/>
    <w:rsid w:val="00C97CA3"/>
    <w:rsid w:val="00C97DDE"/>
    <w:rsid w:val="00CA000F"/>
    <w:rsid w:val="00CA0076"/>
    <w:rsid w:val="00CA00D8"/>
    <w:rsid w:val="00CA07BC"/>
    <w:rsid w:val="00CA09EF"/>
    <w:rsid w:val="00CA0B34"/>
    <w:rsid w:val="00CA0E57"/>
    <w:rsid w:val="00CA0F06"/>
    <w:rsid w:val="00CA104A"/>
    <w:rsid w:val="00CA1179"/>
    <w:rsid w:val="00CA141F"/>
    <w:rsid w:val="00CA14D0"/>
    <w:rsid w:val="00CA19B0"/>
    <w:rsid w:val="00CA1A2C"/>
    <w:rsid w:val="00CA2118"/>
    <w:rsid w:val="00CA22CA"/>
    <w:rsid w:val="00CA2568"/>
    <w:rsid w:val="00CA2862"/>
    <w:rsid w:val="00CA28D4"/>
    <w:rsid w:val="00CA2BBE"/>
    <w:rsid w:val="00CA2E1C"/>
    <w:rsid w:val="00CA2FF4"/>
    <w:rsid w:val="00CA30C5"/>
    <w:rsid w:val="00CA3110"/>
    <w:rsid w:val="00CA31C6"/>
    <w:rsid w:val="00CA388A"/>
    <w:rsid w:val="00CA3FD1"/>
    <w:rsid w:val="00CA4543"/>
    <w:rsid w:val="00CA4E24"/>
    <w:rsid w:val="00CA5331"/>
    <w:rsid w:val="00CA57D3"/>
    <w:rsid w:val="00CA58A4"/>
    <w:rsid w:val="00CA5904"/>
    <w:rsid w:val="00CA5A9E"/>
    <w:rsid w:val="00CA5DD2"/>
    <w:rsid w:val="00CA5E4F"/>
    <w:rsid w:val="00CA5ED8"/>
    <w:rsid w:val="00CA5FCC"/>
    <w:rsid w:val="00CA6320"/>
    <w:rsid w:val="00CA6399"/>
    <w:rsid w:val="00CA678C"/>
    <w:rsid w:val="00CA70ED"/>
    <w:rsid w:val="00CA7131"/>
    <w:rsid w:val="00CA71C9"/>
    <w:rsid w:val="00CA7B09"/>
    <w:rsid w:val="00CA7BEC"/>
    <w:rsid w:val="00CA7D5A"/>
    <w:rsid w:val="00CB034E"/>
    <w:rsid w:val="00CB036E"/>
    <w:rsid w:val="00CB0465"/>
    <w:rsid w:val="00CB0E4F"/>
    <w:rsid w:val="00CB0F8E"/>
    <w:rsid w:val="00CB15DD"/>
    <w:rsid w:val="00CB1623"/>
    <w:rsid w:val="00CB1AC6"/>
    <w:rsid w:val="00CB1CC6"/>
    <w:rsid w:val="00CB1F94"/>
    <w:rsid w:val="00CB29CC"/>
    <w:rsid w:val="00CB2DF4"/>
    <w:rsid w:val="00CB2EEF"/>
    <w:rsid w:val="00CB2FBB"/>
    <w:rsid w:val="00CB31F0"/>
    <w:rsid w:val="00CB343E"/>
    <w:rsid w:val="00CB3709"/>
    <w:rsid w:val="00CB397D"/>
    <w:rsid w:val="00CB3C2E"/>
    <w:rsid w:val="00CB3CC0"/>
    <w:rsid w:val="00CB3F04"/>
    <w:rsid w:val="00CB43D3"/>
    <w:rsid w:val="00CB4443"/>
    <w:rsid w:val="00CB449A"/>
    <w:rsid w:val="00CB4A1E"/>
    <w:rsid w:val="00CB4B61"/>
    <w:rsid w:val="00CB4E8A"/>
    <w:rsid w:val="00CB506A"/>
    <w:rsid w:val="00CB537C"/>
    <w:rsid w:val="00CB54D0"/>
    <w:rsid w:val="00CB56C7"/>
    <w:rsid w:val="00CB56E7"/>
    <w:rsid w:val="00CB5A28"/>
    <w:rsid w:val="00CB5A92"/>
    <w:rsid w:val="00CB5B5B"/>
    <w:rsid w:val="00CB62C6"/>
    <w:rsid w:val="00CB62E6"/>
    <w:rsid w:val="00CB6CC5"/>
    <w:rsid w:val="00CB6FEA"/>
    <w:rsid w:val="00CB721D"/>
    <w:rsid w:val="00CB7648"/>
    <w:rsid w:val="00CB7762"/>
    <w:rsid w:val="00CB7E9F"/>
    <w:rsid w:val="00CB7F8A"/>
    <w:rsid w:val="00CC0044"/>
    <w:rsid w:val="00CC0115"/>
    <w:rsid w:val="00CC031D"/>
    <w:rsid w:val="00CC10FF"/>
    <w:rsid w:val="00CC118D"/>
    <w:rsid w:val="00CC1415"/>
    <w:rsid w:val="00CC15D1"/>
    <w:rsid w:val="00CC169E"/>
    <w:rsid w:val="00CC18E1"/>
    <w:rsid w:val="00CC18EA"/>
    <w:rsid w:val="00CC216F"/>
    <w:rsid w:val="00CC239C"/>
    <w:rsid w:val="00CC23F2"/>
    <w:rsid w:val="00CC26EC"/>
    <w:rsid w:val="00CC2A7C"/>
    <w:rsid w:val="00CC2D9E"/>
    <w:rsid w:val="00CC3548"/>
    <w:rsid w:val="00CC37E0"/>
    <w:rsid w:val="00CC3B75"/>
    <w:rsid w:val="00CC3F69"/>
    <w:rsid w:val="00CC41B9"/>
    <w:rsid w:val="00CC4285"/>
    <w:rsid w:val="00CC4852"/>
    <w:rsid w:val="00CC4979"/>
    <w:rsid w:val="00CC4AE1"/>
    <w:rsid w:val="00CC4D37"/>
    <w:rsid w:val="00CC4DAC"/>
    <w:rsid w:val="00CC4E1B"/>
    <w:rsid w:val="00CC4ED8"/>
    <w:rsid w:val="00CC51FA"/>
    <w:rsid w:val="00CC54AF"/>
    <w:rsid w:val="00CC5E9E"/>
    <w:rsid w:val="00CC63AF"/>
    <w:rsid w:val="00CC6407"/>
    <w:rsid w:val="00CC6485"/>
    <w:rsid w:val="00CC64B6"/>
    <w:rsid w:val="00CC6784"/>
    <w:rsid w:val="00CC6923"/>
    <w:rsid w:val="00CC71F9"/>
    <w:rsid w:val="00CC763A"/>
    <w:rsid w:val="00CC77B7"/>
    <w:rsid w:val="00CC7F8F"/>
    <w:rsid w:val="00CD0095"/>
    <w:rsid w:val="00CD03ED"/>
    <w:rsid w:val="00CD06C6"/>
    <w:rsid w:val="00CD12C3"/>
    <w:rsid w:val="00CD13D8"/>
    <w:rsid w:val="00CD165A"/>
    <w:rsid w:val="00CD17CD"/>
    <w:rsid w:val="00CD17EA"/>
    <w:rsid w:val="00CD1AA3"/>
    <w:rsid w:val="00CD1BDA"/>
    <w:rsid w:val="00CD1C77"/>
    <w:rsid w:val="00CD1C8D"/>
    <w:rsid w:val="00CD2085"/>
    <w:rsid w:val="00CD2186"/>
    <w:rsid w:val="00CD25BB"/>
    <w:rsid w:val="00CD35BA"/>
    <w:rsid w:val="00CD3998"/>
    <w:rsid w:val="00CD39E0"/>
    <w:rsid w:val="00CD3C57"/>
    <w:rsid w:val="00CD48FD"/>
    <w:rsid w:val="00CD4AC3"/>
    <w:rsid w:val="00CD4DA3"/>
    <w:rsid w:val="00CD53A2"/>
    <w:rsid w:val="00CD57EC"/>
    <w:rsid w:val="00CD5A02"/>
    <w:rsid w:val="00CD5CA2"/>
    <w:rsid w:val="00CD63F8"/>
    <w:rsid w:val="00CD6461"/>
    <w:rsid w:val="00CD6E6F"/>
    <w:rsid w:val="00CD7C29"/>
    <w:rsid w:val="00CD7D8A"/>
    <w:rsid w:val="00CE01A3"/>
    <w:rsid w:val="00CE026A"/>
    <w:rsid w:val="00CE02D2"/>
    <w:rsid w:val="00CE0479"/>
    <w:rsid w:val="00CE0763"/>
    <w:rsid w:val="00CE08C7"/>
    <w:rsid w:val="00CE0B4E"/>
    <w:rsid w:val="00CE0BF0"/>
    <w:rsid w:val="00CE0F83"/>
    <w:rsid w:val="00CE1070"/>
    <w:rsid w:val="00CE13FA"/>
    <w:rsid w:val="00CE1543"/>
    <w:rsid w:val="00CE15FF"/>
    <w:rsid w:val="00CE1F4B"/>
    <w:rsid w:val="00CE2334"/>
    <w:rsid w:val="00CE247D"/>
    <w:rsid w:val="00CE24CF"/>
    <w:rsid w:val="00CE297B"/>
    <w:rsid w:val="00CE2A76"/>
    <w:rsid w:val="00CE2BF3"/>
    <w:rsid w:val="00CE2CA4"/>
    <w:rsid w:val="00CE2D2A"/>
    <w:rsid w:val="00CE3401"/>
    <w:rsid w:val="00CE37C6"/>
    <w:rsid w:val="00CE3EF8"/>
    <w:rsid w:val="00CE4C2D"/>
    <w:rsid w:val="00CE4F99"/>
    <w:rsid w:val="00CE53F7"/>
    <w:rsid w:val="00CE58B0"/>
    <w:rsid w:val="00CE5BBE"/>
    <w:rsid w:val="00CE5FD2"/>
    <w:rsid w:val="00CE63D3"/>
    <w:rsid w:val="00CE6C92"/>
    <w:rsid w:val="00CE6D8D"/>
    <w:rsid w:val="00CE6E71"/>
    <w:rsid w:val="00CE7188"/>
    <w:rsid w:val="00CE7362"/>
    <w:rsid w:val="00CE73BE"/>
    <w:rsid w:val="00CE760F"/>
    <w:rsid w:val="00CE7CFE"/>
    <w:rsid w:val="00CE7F60"/>
    <w:rsid w:val="00CF002B"/>
    <w:rsid w:val="00CF04C9"/>
    <w:rsid w:val="00CF0717"/>
    <w:rsid w:val="00CF0DAB"/>
    <w:rsid w:val="00CF1B9D"/>
    <w:rsid w:val="00CF1EAC"/>
    <w:rsid w:val="00CF1F30"/>
    <w:rsid w:val="00CF1FED"/>
    <w:rsid w:val="00CF21FC"/>
    <w:rsid w:val="00CF243F"/>
    <w:rsid w:val="00CF2762"/>
    <w:rsid w:val="00CF2911"/>
    <w:rsid w:val="00CF2998"/>
    <w:rsid w:val="00CF2A0E"/>
    <w:rsid w:val="00CF2A4D"/>
    <w:rsid w:val="00CF2D91"/>
    <w:rsid w:val="00CF30F1"/>
    <w:rsid w:val="00CF310B"/>
    <w:rsid w:val="00CF385E"/>
    <w:rsid w:val="00CF39B5"/>
    <w:rsid w:val="00CF3A4B"/>
    <w:rsid w:val="00CF3CC0"/>
    <w:rsid w:val="00CF41B5"/>
    <w:rsid w:val="00CF44B3"/>
    <w:rsid w:val="00CF44B7"/>
    <w:rsid w:val="00CF48B0"/>
    <w:rsid w:val="00CF48B6"/>
    <w:rsid w:val="00CF497E"/>
    <w:rsid w:val="00CF4AAE"/>
    <w:rsid w:val="00CF4ECC"/>
    <w:rsid w:val="00CF4F23"/>
    <w:rsid w:val="00CF5183"/>
    <w:rsid w:val="00CF61FE"/>
    <w:rsid w:val="00CF67F0"/>
    <w:rsid w:val="00CF710F"/>
    <w:rsid w:val="00CF77DB"/>
    <w:rsid w:val="00CF7998"/>
    <w:rsid w:val="00CF7B41"/>
    <w:rsid w:val="00CF7D1D"/>
    <w:rsid w:val="00CF7D75"/>
    <w:rsid w:val="00CF7DB0"/>
    <w:rsid w:val="00D000E2"/>
    <w:rsid w:val="00D0038B"/>
    <w:rsid w:val="00D00524"/>
    <w:rsid w:val="00D00B76"/>
    <w:rsid w:val="00D00CCD"/>
    <w:rsid w:val="00D00F13"/>
    <w:rsid w:val="00D010B5"/>
    <w:rsid w:val="00D013BA"/>
    <w:rsid w:val="00D013C9"/>
    <w:rsid w:val="00D01443"/>
    <w:rsid w:val="00D01AFA"/>
    <w:rsid w:val="00D02155"/>
    <w:rsid w:val="00D02258"/>
    <w:rsid w:val="00D0235C"/>
    <w:rsid w:val="00D02B55"/>
    <w:rsid w:val="00D02C84"/>
    <w:rsid w:val="00D02D02"/>
    <w:rsid w:val="00D0330E"/>
    <w:rsid w:val="00D03319"/>
    <w:rsid w:val="00D03508"/>
    <w:rsid w:val="00D035EF"/>
    <w:rsid w:val="00D03A88"/>
    <w:rsid w:val="00D03D98"/>
    <w:rsid w:val="00D03DA1"/>
    <w:rsid w:val="00D03F22"/>
    <w:rsid w:val="00D03F93"/>
    <w:rsid w:val="00D0410E"/>
    <w:rsid w:val="00D0447B"/>
    <w:rsid w:val="00D044AA"/>
    <w:rsid w:val="00D04AAD"/>
    <w:rsid w:val="00D04F9C"/>
    <w:rsid w:val="00D05244"/>
    <w:rsid w:val="00D05F1B"/>
    <w:rsid w:val="00D063B3"/>
    <w:rsid w:val="00D06A13"/>
    <w:rsid w:val="00D06FD7"/>
    <w:rsid w:val="00D0714A"/>
    <w:rsid w:val="00D07456"/>
    <w:rsid w:val="00D0773E"/>
    <w:rsid w:val="00D07E71"/>
    <w:rsid w:val="00D10301"/>
    <w:rsid w:val="00D107C2"/>
    <w:rsid w:val="00D10A41"/>
    <w:rsid w:val="00D10ABE"/>
    <w:rsid w:val="00D10F88"/>
    <w:rsid w:val="00D12025"/>
    <w:rsid w:val="00D123BE"/>
    <w:rsid w:val="00D124D4"/>
    <w:rsid w:val="00D126A0"/>
    <w:rsid w:val="00D12B50"/>
    <w:rsid w:val="00D130AD"/>
    <w:rsid w:val="00D13110"/>
    <w:rsid w:val="00D13305"/>
    <w:rsid w:val="00D1368C"/>
    <w:rsid w:val="00D136DA"/>
    <w:rsid w:val="00D13E23"/>
    <w:rsid w:val="00D13EDA"/>
    <w:rsid w:val="00D14066"/>
    <w:rsid w:val="00D14112"/>
    <w:rsid w:val="00D14355"/>
    <w:rsid w:val="00D14D4A"/>
    <w:rsid w:val="00D15066"/>
    <w:rsid w:val="00D156E7"/>
    <w:rsid w:val="00D15DB3"/>
    <w:rsid w:val="00D15E00"/>
    <w:rsid w:val="00D15EFB"/>
    <w:rsid w:val="00D1649D"/>
    <w:rsid w:val="00D166E1"/>
    <w:rsid w:val="00D16CBF"/>
    <w:rsid w:val="00D16D1A"/>
    <w:rsid w:val="00D16E01"/>
    <w:rsid w:val="00D17B1E"/>
    <w:rsid w:val="00D17B88"/>
    <w:rsid w:val="00D17D20"/>
    <w:rsid w:val="00D17D21"/>
    <w:rsid w:val="00D200A3"/>
    <w:rsid w:val="00D200D0"/>
    <w:rsid w:val="00D200F1"/>
    <w:rsid w:val="00D20276"/>
    <w:rsid w:val="00D2039E"/>
    <w:rsid w:val="00D2057B"/>
    <w:rsid w:val="00D205DB"/>
    <w:rsid w:val="00D206D5"/>
    <w:rsid w:val="00D207FD"/>
    <w:rsid w:val="00D20932"/>
    <w:rsid w:val="00D2099B"/>
    <w:rsid w:val="00D211BF"/>
    <w:rsid w:val="00D213F4"/>
    <w:rsid w:val="00D218A1"/>
    <w:rsid w:val="00D218EE"/>
    <w:rsid w:val="00D21A55"/>
    <w:rsid w:val="00D221A2"/>
    <w:rsid w:val="00D22219"/>
    <w:rsid w:val="00D223E3"/>
    <w:rsid w:val="00D22470"/>
    <w:rsid w:val="00D2254E"/>
    <w:rsid w:val="00D22748"/>
    <w:rsid w:val="00D227C2"/>
    <w:rsid w:val="00D229D6"/>
    <w:rsid w:val="00D229EA"/>
    <w:rsid w:val="00D22E7F"/>
    <w:rsid w:val="00D2302B"/>
    <w:rsid w:val="00D23A90"/>
    <w:rsid w:val="00D23BE5"/>
    <w:rsid w:val="00D23F99"/>
    <w:rsid w:val="00D244D3"/>
    <w:rsid w:val="00D25DDB"/>
    <w:rsid w:val="00D25E4E"/>
    <w:rsid w:val="00D2636D"/>
    <w:rsid w:val="00D26544"/>
    <w:rsid w:val="00D26773"/>
    <w:rsid w:val="00D2689B"/>
    <w:rsid w:val="00D27098"/>
    <w:rsid w:val="00D27102"/>
    <w:rsid w:val="00D27195"/>
    <w:rsid w:val="00D271F7"/>
    <w:rsid w:val="00D27646"/>
    <w:rsid w:val="00D27780"/>
    <w:rsid w:val="00D279C6"/>
    <w:rsid w:val="00D27C03"/>
    <w:rsid w:val="00D27ED5"/>
    <w:rsid w:val="00D30727"/>
    <w:rsid w:val="00D30782"/>
    <w:rsid w:val="00D30B0E"/>
    <w:rsid w:val="00D30DC6"/>
    <w:rsid w:val="00D3104E"/>
    <w:rsid w:val="00D31447"/>
    <w:rsid w:val="00D3154C"/>
    <w:rsid w:val="00D3158C"/>
    <w:rsid w:val="00D31B87"/>
    <w:rsid w:val="00D31C32"/>
    <w:rsid w:val="00D31E2A"/>
    <w:rsid w:val="00D32005"/>
    <w:rsid w:val="00D323E4"/>
    <w:rsid w:val="00D3282C"/>
    <w:rsid w:val="00D32B6C"/>
    <w:rsid w:val="00D33002"/>
    <w:rsid w:val="00D33297"/>
    <w:rsid w:val="00D335D6"/>
    <w:rsid w:val="00D336FD"/>
    <w:rsid w:val="00D33B1A"/>
    <w:rsid w:val="00D340F4"/>
    <w:rsid w:val="00D341EE"/>
    <w:rsid w:val="00D34231"/>
    <w:rsid w:val="00D34784"/>
    <w:rsid w:val="00D34919"/>
    <w:rsid w:val="00D34A29"/>
    <w:rsid w:val="00D34AEE"/>
    <w:rsid w:val="00D34B4B"/>
    <w:rsid w:val="00D34BA3"/>
    <w:rsid w:val="00D34D72"/>
    <w:rsid w:val="00D3514E"/>
    <w:rsid w:val="00D3585C"/>
    <w:rsid w:val="00D35892"/>
    <w:rsid w:val="00D35952"/>
    <w:rsid w:val="00D35A01"/>
    <w:rsid w:val="00D3694C"/>
    <w:rsid w:val="00D36E6E"/>
    <w:rsid w:val="00D37218"/>
    <w:rsid w:val="00D37231"/>
    <w:rsid w:val="00D373A0"/>
    <w:rsid w:val="00D374D8"/>
    <w:rsid w:val="00D3795E"/>
    <w:rsid w:val="00D37B32"/>
    <w:rsid w:val="00D37DC4"/>
    <w:rsid w:val="00D400E6"/>
    <w:rsid w:val="00D401BC"/>
    <w:rsid w:val="00D40256"/>
    <w:rsid w:val="00D407D9"/>
    <w:rsid w:val="00D40919"/>
    <w:rsid w:val="00D4092E"/>
    <w:rsid w:val="00D40C27"/>
    <w:rsid w:val="00D417A8"/>
    <w:rsid w:val="00D4195D"/>
    <w:rsid w:val="00D4198E"/>
    <w:rsid w:val="00D41B84"/>
    <w:rsid w:val="00D41D5A"/>
    <w:rsid w:val="00D41E0F"/>
    <w:rsid w:val="00D41F10"/>
    <w:rsid w:val="00D42381"/>
    <w:rsid w:val="00D424AA"/>
    <w:rsid w:val="00D42562"/>
    <w:rsid w:val="00D42936"/>
    <w:rsid w:val="00D42A4B"/>
    <w:rsid w:val="00D42E7C"/>
    <w:rsid w:val="00D42E9C"/>
    <w:rsid w:val="00D43117"/>
    <w:rsid w:val="00D436B7"/>
    <w:rsid w:val="00D43847"/>
    <w:rsid w:val="00D43888"/>
    <w:rsid w:val="00D43B6F"/>
    <w:rsid w:val="00D43ED9"/>
    <w:rsid w:val="00D44035"/>
    <w:rsid w:val="00D4406A"/>
    <w:rsid w:val="00D44244"/>
    <w:rsid w:val="00D44CB6"/>
    <w:rsid w:val="00D4549E"/>
    <w:rsid w:val="00D4572A"/>
    <w:rsid w:val="00D458AC"/>
    <w:rsid w:val="00D45A03"/>
    <w:rsid w:val="00D45A53"/>
    <w:rsid w:val="00D45A82"/>
    <w:rsid w:val="00D45C54"/>
    <w:rsid w:val="00D45CF0"/>
    <w:rsid w:val="00D45DC3"/>
    <w:rsid w:val="00D45ED2"/>
    <w:rsid w:val="00D46490"/>
    <w:rsid w:val="00D4692A"/>
    <w:rsid w:val="00D46A7F"/>
    <w:rsid w:val="00D46DED"/>
    <w:rsid w:val="00D47D14"/>
    <w:rsid w:val="00D50828"/>
    <w:rsid w:val="00D50EC4"/>
    <w:rsid w:val="00D51206"/>
    <w:rsid w:val="00D51238"/>
    <w:rsid w:val="00D51417"/>
    <w:rsid w:val="00D514C8"/>
    <w:rsid w:val="00D51B99"/>
    <w:rsid w:val="00D51F31"/>
    <w:rsid w:val="00D52232"/>
    <w:rsid w:val="00D524CF"/>
    <w:rsid w:val="00D52B61"/>
    <w:rsid w:val="00D52C6E"/>
    <w:rsid w:val="00D52C70"/>
    <w:rsid w:val="00D52DEA"/>
    <w:rsid w:val="00D5346B"/>
    <w:rsid w:val="00D53503"/>
    <w:rsid w:val="00D53A00"/>
    <w:rsid w:val="00D53A7E"/>
    <w:rsid w:val="00D53B87"/>
    <w:rsid w:val="00D53B9E"/>
    <w:rsid w:val="00D541A7"/>
    <w:rsid w:val="00D5457F"/>
    <w:rsid w:val="00D546C5"/>
    <w:rsid w:val="00D551E8"/>
    <w:rsid w:val="00D551EC"/>
    <w:rsid w:val="00D554C3"/>
    <w:rsid w:val="00D55C72"/>
    <w:rsid w:val="00D55CDE"/>
    <w:rsid w:val="00D55CF3"/>
    <w:rsid w:val="00D56406"/>
    <w:rsid w:val="00D564DD"/>
    <w:rsid w:val="00D5670D"/>
    <w:rsid w:val="00D56772"/>
    <w:rsid w:val="00D56CD4"/>
    <w:rsid w:val="00D571C4"/>
    <w:rsid w:val="00D57216"/>
    <w:rsid w:val="00D576D9"/>
    <w:rsid w:val="00D579FD"/>
    <w:rsid w:val="00D57D0D"/>
    <w:rsid w:val="00D60274"/>
    <w:rsid w:val="00D602B5"/>
    <w:rsid w:val="00D605DB"/>
    <w:rsid w:val="00D6080D"/>
    <w:rsid w:val="00D6086E"/>
    <w:rsid w:val="00D60AC0"/>
    <w:rsid w:val="00D60C98"/>
    <w:rsid w:val="00D612D8"/>
    <w:rsid w:val="00D61488"/>
    <w:rsid w:val="00D61B2E"/>
    <w:rsid w:val="00D61B97"/>
    <w:rsid w:val="00D61C45"/>
    <w:rsid w:val="00D61FC7"/>
    <w:rsid w:val="00D622A6"/>
    <w:rsid w:val="00D62C96"/>
    <w:rsid w:val="00D62D5E"/>
    <w:rsid w:val="00D63230"/>
    <w:rsid w:val="00D63712"/>
    <w:rsid w:val="00D63D68"/>
    <w:rsid w:val="00D63FB2"/>
    <w:rsid w:val="00D64014"/>
    <w:rsid w:val="00D642C1"/>
    <w:rsid w:val="00D64427"/>
    <w:rsid w:val="00D64601"/>
    <w:rsid w:val="00D64AFC"/>
    <w:rsid w:val="00D64D93"/>
    <w:rsid w:val="00D6519A"/>
    <w:rsid w:val="00D65508"/>
    <w:rsid w:val="00D6554B"/>
    <w:rsid w:val="00D655D4"/>
    <w:rsid w:val="00D656C2"/>
    <w:rsid w:val="00D65C85"/>
    <w:rsid w:val="00D65C93"/>
    <w:rsid w:val="00D65DA9"/>
    <w:rsid w:val="00D66524"/>
    <w:rsid w:val="00D66B27"/>
    <w:rsid w:val="00D670C7"/>
    <w:rsid w:val="00D6730B"/>
    <w:rsid w:val="00D67452"/>
    <w:rsid w:val="00D67893"/>
    <w:rsid w:val="00D67D12"/>
    <w:rsid w:val="00D700BD"/>
    <w:rsid w:val="00D70132"/>
    <w:rsid w:val="00D704C0"/>
    <w:rsid w:val="00D704E2"/>
    <w:rsid w:val="00D705DB"/>
    <w:rsid w:val="00D70692"/>
    <w:rsid w:val="00D70A3C"/>
    <w:rsid w:val="00D70AFB"/>
    <w:rsid w:val="00D7105F"/>
    <w:rsid w:val="00D710EB"/>
    <w:rsid w:val="00D710FD"/>
    <w:rsid w:val="00D7110A"/>
    <w:rsid w:val="00D711F0"/>
    <w:rsid w:val="00D714C9"/>
    <w:rsid w:val="00D715B1"/>
    <w:rsid w:val="00D719A0"/>
    <w:rsid w:val="00D71BE7"/>
    <w:rsid w:val="00D71D0D"/>
    <w:rsid w:val="00D71E9D"/>
    <w:rsid w:val="00D724C2"/>
    <w:rsid w:val="00D725E3"/>
    <w:rsid w:val="00D72626"/>
    <w:rsid w:val="00D72879"/>
    <w:rsid w:val="00D72A7F"/>
    <w:rsid w:val="00D731A0"/>
    <w:rsid w:val="00D7396C"/>
    <w:rsid w:val="00D73982"/>
    <w:rsid w:val="00D73F7E"/>
    <w:rsid w:val="00D7424F"/>
    <w:rsid w:val="00D7442D"/>
    <w:rsid w:val="00D746BD"/>
    <w:rsid w:val="00D74806"/>
    <w:rsid w:val="00D75A00"/>
    <w:rsid w:val="00D76094"/>
    <w:rsid w:val="00D761C2"/>
    <w:rsid w:val="00D7621C"/>
    <w:rsid w:val="00D76409"/>
    <w:rsid w:val="00D764FD"/>
    <w:rsid w:val="00D76CBB"/>
    <w:rsid w:val="00D76F21"/>
    <w:rsid w:val="00D76FB8"/>
    <w:rsid w:val="00D77AAA"/>
    <w:rsid w:val="00D77AD3"/>
    <w:rsid w:val="00D77CFB"/>
    <w:rsid w:val="00D80109"/>
    <w:rsid w:val="00D801DF"/>
    <w:rsid w:val="00D803BA"/>
    <w:rsid w:val="00D80538"/>
    <w:rsid w:val="00D806CA"/>
    <w:rsid w:val="00D80DD0"/>
    <w:rsid w:val="00D80F4F"/>
    <w:rsid w:val="00D81363"/>
    <w:rsid w:val="00D81445"/>
    <w:rsid w:val="00D81469"/>
    <w:rsid w:val="00D81A90"/>
    <w:rsid w:val="00D82176"/>
    <w:rsid w:val="00D82780"/>
    <w:rsid w:val="00D82DA1"/>
    <w:rsid w:val="00D82EA8"/>
    <w:rsid w:val="00D82F03"/>
    <w:rsid w:val="00D82FB4"/>
    <w:rsid w:val="00D82FB6"/>
    <w:rsid w:val="00D8305E"/>
    <w:rsid w:val="00D84296"/>
    <w:rsid w:val="00D84896"/>
    <w:rsid w:val="00D84CCD"/>
    <w:rsid w:val="00D84E4B"/>
    <w:rsid w:val="00D84FC0"/>
    <w:rsid w:val="00D84FFD"/>
    <w:rsid w:val="00D855DD"/>
    <w:rsid w:val="00D85815"/>
    <w:rsid w:val="00D85C21"/>
    <w:rsid w:val="00D85C26"/>
    <w:rsid w:val="00D860CA"/>
    <w:rsid w:val="00D8628F"/>
    <w:rsid w:val="00D8641D"/>
    <w:rsid w:val="00D86B84"/>
    <w:rsid w:val="00D86C0D"/>
    <w:rsid w:val="00D86DE7"/>
    <w:rsid w:val="00D86FD5"/>
    <w:rsid w:val="00D87260"/>
    <w:rsid w:val="00D8729E"/>
    <w:rsid w:val="00D873A0"/>
    <w:rsid w:val="00D87484"/>
    <w:rsid w:val="00D874E3"/>
    <w:rsid w:val="00D879DB"/>
    <w:rsid w:val="00D879F9"/>
    <w:rsid w:val="00D87E3A"/>
    <w:rsid w:val="00D87F3C"/>
    <w:rsid w:val="00D902F8"/>
    <w:rsid w:val="00D9046F"/>
    <w:rsid w:val="00D90617"/>
    <w:rsid w:val="00D90994"/>
    <w:rsid w:val="00D90B96"/>
    <w:rsid w:val="00D9150A"/>
    <w:rsid w:val="00D915EE"/>
    <w:rsid w:val="00D91E27"/>
    <w:rsid w:val="00D91F82"/>
    <w:rsid w:val="00D922F3"/>
    <w:rsid w:val="00D926BD"/>
    <w:rsid w:val="00D92A1E"/>
    <w:rsid w:val="00D92CC7"/>
    <w:rsid w:val="00D932C2"/>
    <w:rsid w:val="00D935AA"/>
    <w:rsid w:val="00D939A7"/>
    <w:rsid w:val="00D93CC3"/>
    <w:rsid w:val="00D943BD"/>
    <w:rsid w:val="00D947CF"/>
    <w:rsid w:val="00D948F2"/>
    <w:rsid w:val="00D94E67"/>
    <w:rsid w:val="00D95166"/>
    <w:rsid w:val="00D951AD"/>
    <w:rsid w:val="00D95237"/>
    <w:rsid w:val="00D953BD"/>
    <w:rsid w:val="00D953EF"/>
    <w:rsid w:val="00D95406"/>
    <w:rsid w:val="00D958C6"/>
    <w:rsid w:val="00D95B3F"/>
    <w:rsid w:val="00D96028"/>
    <w:rsid w:val="00D9655E"/>
    <w:rsid w:val="00D96687"/>
    <w:rsid w:val="00D966E4"/>
    <w:rsid w:val="00D9681F"/>
    <w:rsid w:val="00D970B5"/>
    <w:rsid w:val="00D97316"/>
    <w:rsid w:val="00D9737A"/>
    <w:rsid w:val="00D97465"/>
    <w:rsid w:val="00D974A4"/>
    <w:rsid w:val="00D975CC"/>
    <w:rsid w:val="00D97683"/>
    <w:rsid w:val="00D976DA"/>
    <w:rsid w:val="00D97923"/>
    <w:rsid w:val="00D9799B"/>
    <w:rsid w:val="00D97A33"/>
    <w:rsid w:val="00DA018E"/>
    <w:rsid w:val="00DA0D9A"/>
    <w:rsid w:val="00DA11DA"/>
    <w:rsid w:val="00DA1328"/>
    <w:rsid w:val="00DA15ED"/>
    <w:rsid w:val="00DA237F"/>
    <w:rsid w:val="00DA23F2"/>
    <w:rsid w:val="00DA2BC6"/>
    <w:rsid w:val="00DA2E0E"/>
    <w:rsid w:val="00DA3869"/>
    <w:rsid w:val="00DA3ABC"/>
    <w:rsid w:val="00DA488D"/>
    <w:rsid w:val="00DA4892"/>
    <w:rsid w:val="00DA4BB6"/>
    <w:rsid w:val="00DA4E8F"/>
    <w:rsid w:val="00DA5D0B"/>
    <w:rsid w:val="00DA6473"/>
    <w:rsid w:val="00DA68F7"/>
    <w:rsid w:val="00DA6C5C"/>
    <w:rsid w:val="00DA709A"/>
    <w:rsid w:val="00DA7584"/>
    <w:rsid w:val="00DA76F0"/>
    <w:rsid w:val="00DA7A6A"/>
    <w:rsid w:val="00DA7A7F"/>
    <w:rsid w:val="00DA7C5E"/>
    <w:rsid w:val="00DA7E9A"/>
    <w:rsid w:val="00DB0028"/>
    <w:rsid w:val="00DB03DF"/>
    <w:rsid w:val="00DB0FC3"/>
    <w:rsid w:val="00DB13BF"/>
    <w:rsid w:val="00DB14D9"/>
    <w:rsid w:val="00DB15B3"/>
    <w:rsid w:val="00DB1A5B"/>
    <w:rsid w:val="00DB262E"/>
    <w:rsid w:val="00DB26F9"/>
    <w:rsid w:val="00DB27C4"/>
    <w:rsid w:val="00DB2F2B"/>
    <w:rsid w:val="00DB34C9"/>
    <w:rsid w:val="00DB352A"/>
    <w:rsid w:val="00DB355F"/>
    <w:rsid w:val="00DB3972"/>
    <w:rsid w:val="00DB3983"/>
    <w:rsid w:val="00DB3AA6"/>
    <w:rsid w:val="00DB3AFD"/>
    <w:rsid w:val="00DB3B1E"/>
    <w:rsid w:val="00DB3D7E"/>
    <w:rsid w:val="00DB4340"/>
    <w:rsid w:val="00DB44FF"/>
    <w:rsid w:val="00DB4A1B"/>
    <w:rsid w:val="00DB4AD1"/>
    <w:rsid w:val="00DB4E8B"/>
    <w:rsid w:val="00DB52D7"/>
    <w:rsid w:val="00DB54F0"/>
    <w:rsid w:val="00DB55D6"/>
    <w:rsid w:val="00DB594E"/>
    <w:rsid w:val="00DB59A4"/>
    <w:rsid w:val="00DB59CB"/>
    <w:rsid w:val="00DB6138"/>
    <w:rsid w:val="00DB61D1"/>
    <w:rsid w:val="00DB637B"/>
    <w:rsid w:val="00DB66A2"/>
    <w:rsid w:val="00DB66B6"/>
    <w:rsid w:val="00DB66C0"/>
    <w:rsid w:val="00DB6995"/>
    <w:rsid w:val="00DB6D71"/>
    <w:rsid w:val="00DB6EB9"/>
    <w:rsid w:val="00DB6ECF"/>
    <w:rsid w:val="00DB6F0A"/>
    <w:rsid w:val="00DB725C"/>
    <w:rsid w:val="00DB75F0"/>
    <w:rsid w:val="00DB7B0F"/>
    <w:rsid w:val="00DB7EB5"/>
    <w:rsid w:val="00DC061B"/>
    <w:rsid w:val="00DC08A7"/>
    <w:rsid w:val="00DC08FB"/>
    <w:rsid w:val="00DC0A46"/>
    <w:rsid w:val="00DC0BBA"/>
    <w:rsid w:val="00DC0BEE"/>
    <w:rsid w:val="00DC0C7E"/>
    <w:rsid w:val="00DC123C"/>
    <w:rsid w:val="00DC13FF"/>
    <w:rsid w:val="00DC2546"/>
    <w:rsid w:val="00DC2A8E"/>
    <w:rsid w:val="00DC2D93"/>
    <w:rsid w:val="00DC2E9C"/>
    <w:rsid w:val="00DC3006"/>
    <w:rsid w:val="00DC3093"/>
    <w:rsid w:val="00DC3136"/>
    <w:rsid w:val="00DC314D"/>
    <w:rsid w:val="00DC3220"/>
    <w:rsid w:val="00DC3AD3"/>
    <w:rsid w:val="00DC413B"/>
    <w:rsid w:val="00DC425F"/>
    <w:rsid w:val="00DC52B9"/>
    <w:rsid w:val="00DC5511"/>
    <w:rsid w:val="00DC5ED0"/>
    <w:rsid w:val="00DC5FDC"/>
    <w:rsid w:val="00DC606E"/>
    <w:rsid w:val="00DC632B"/>
    <w:rsid w:val="00DC6518"/>
    <w:rsid w:val="00DC6576"/>
    <w:rsid w:val="00DC65BC"/>
    <w:rsid w:val="00DC65F7"/>
    <w:rsid w:val="00DC6CB5"/>
    <w:rsid w:val="00DC72AC"/>
    <w:rsid w:val="00DC7822"/>
    <w:rsid w:val="00DC7E5D"/>
    <w:rsid w:val="00DC7F27"/>
    <w:rsid w:val="00DC7F35"/>
    <w:rsid w:val="00DD093D"/>
    <w:rsid w:val="00DD0B6F"/>
    <w:rsid w:val="00DD0C9B"/>
    <w:rsid w:val="00DD0DD1"/>
    <w:rsid w:val="00DD0FA1"/>
    <w:rsid w:val="00DD0FBA"/>
    <w:rsid w:val="00DD2535"/>
    <w:rsid w:val="00DD26C6"/>
    <w:rsid w:val="00DD2CAA"/>
    <w:rsid w:val="00DD3274"/>
    <w:rsid w:val="00DD3CA6"/>
    <w:rsid w:val="00DD3F22"/>
    <w:rsid w:val="00DD4472"/>
    <w:rsid w:val="00DD450F"/>
    <w:rsid w:val="00DD47BE"/>
    <w:rsid w:val="00DD4B04"/>
    <w:rsid w:val="00DD4EEB"/>
    <w:rsid w:val="00DD539B"/>
    <w:rsid w:val="00DD5D20"/>
    <w:rsid w:val="00DD60EB"/>
    <w:rsid w:val="00DD628F"/>
    <w:rsid w:val="00DD6320"/>
    <w:rsid w:val="00DD6398"/>
    <w:rsid w:val="00DD67D5"/>
    <w:rsid w:val="00DD6852"/>
    <w:rsid w:val="00DD72CE"/>
    <w:rsid w:val="00DD75BD"/>
    <w:rsid w:val="00DD7759"/>
    <w:rsid w:val="00DD7819"/>
    <w:rsid w:val="00DD7D1E"/>
    <w:rsid w:val="00DE0223"/>
    <w:rsid w:val="00DE0526"/>
    <w:rsid w:val="00DE067D"/>
    <w:rsid w:val="00DE0941"/>
    <w:rsid w:val="00DE096D"/>
    <w:rsid w:val="00DE0C13"/>
    <w:rsid w:val="00DE0DDA"/>
    <w:rsid w:val="00DE0E19"/>
    <w:rsid w:val="00DE16C7"/>
    <w:rsid w:val="00DE194C"/>
    <w:rsid w:val="00DE1A2B"/>
    <w:rsid w:val="00DE1AFE"/>
    <w:rsid w:val="00DE26F7"/>
    <w:rsid w:val="00DE2EB5"/>
    <w:rsid w:val="00DE2F4A"/>
    <w:rsid w:val="00DE330B"/>
    <w:rsid w:val="00DE3812"/>
    <w:rsid w:val="00DE3C48"/>
    <w:rsid w:val="00DE3CEF"/>
    <w:rsid w:val="00DE3E65"/>
    <w:rsid w:val="00DE5053"/>
    <w:rsid w:val="00DE5218"/>
    <w:rsid w:val="00DE538C"/>
    <w:rsid w:val="00DE54E1"/>
    <w:rsid w:val="00DE5600"/>
    <w:rsid w:val="00DE5796"/>
    <w:rsid w:val="00DE5A37"/>
    <w:rsid w:val="00DE5A4C"/>
    <w:rsid w:val="00DE5F04"/>
    <w:rsid w:val="00DE6A44"/>
    <w:rsid w:val="00DE6B39"/>
    <w:rsid w:val="00DE6DFC"/>
    <w:rsid w:val="00DE7110"/>
    <w:rsid w:val="00DE77E7"/>
    <w:rsid w:val="00DE7DA9"/>
    <w:rsid w:val="00DE7F03"/>
    <w:rsid w:val="00DF01DB"/>
    <w:rsid w:val="00DF054F"/>
    <w:rsid w:val="00DF057D"/>
    <w:rsid w:val="00DF0674"/>
    <w:rsid w:val="00DF0A46"/>
    <w:rsid w:val="00DF0CE6"/>
    <w:rsid w:val="00DF14BC"/>
    <w:rsid w:val="00DF1502"/>
    <w:rsid w:val="00DF1585"/>
    <w:rsid w:val="00DF1C1F"/>
    <w:rsid w:val="00DF1EC5"/>
    <w:rsid w:val="00DF2437"/>
    <w:rsid w:val="00DF2627"/>
    <w:rsid w:val="00DF277C"/>
    <w:rsid w:val="00DF2789"/>
    <w:rsid w:val="00DF2888"/>
    <w:rsid w:val="00DF2912"/>
    <w:rsid w:val="00DF2E8C"/>
    <w:rsid w:val="00DF3124"/>
    <w:rsid w:val="00DF3332"/>
    <w:rsid w:val="00DF3388"/>
    <w:rsid w:val="00DF33EC"/>
    <w:rsid w:val="00DF3F04"/>
    <w:rsid w:val="00DF4B6D"/>
    <w:rsid w:val="00DF50BC"/>
    <w:rsid w:val="00DF547C"/>
    <w:rsid w:val="00DF5C5B"/>
    <w:rsid w:val="00DF6037"/>
    <w:rsid w:val="00DF63BC"/>
    <w:rsid w:val="00DF64C2"/>
    <w:rsid w:val="00DF6529"/>
    <w:rsid w:val="00DF66E7"/>
    <w:rsid w:val="00DF6B9F"/>
    <w:rsid w:val="00DF6FB1"/>
    <w:rsid w:val="00DF7450"/>
    <w:rsid w:val="00DF7594"/>
    <w:rsid w:val="00DF7A18"/>
    <w:rsid w:val="00DF7C0E"/>
    <w:rsid w:val="00DF7C60"/>
    <w:rsid w:val="00DF7F1B"/>
    <w:rsid w:val="00E00249"/>
    <w:rsid w:val="00E005D6"/>
    <w:rsid w:val="00E00816"/>
    <w:rsid w:val="00E00A08"/>
    <w:rsid w:val="00E00B7B"/>
    <w:rsid w:val="00E00BD2"/>
    <w:rsid w:val="00E00CE7"/>
    <w:rsid w:val="00E01236"/>
    <w:rsid w:val="00E01D93"/>
    <w:rsid w:val="00E0295A"/>
    <w:rsid w:val="00E02A2E"/>
    <w:rsid w:val="00E02C61"/>
    <w:rsid w:val="00E02C87"/>
    <w:rsid w:val="00E02D99"/>
    <w:rsid w:val="00E02EA9"/>
    <w:rsid w:val="00E031F6"/>
    <w:rsid w:val="00E033DF"/>
    <w:rsid w:val="00E034AC"/>
    <w:rsid w:val="00E034CC"/>
    <w:rsid w:val="00E0388A"/>
    <w:rsid w:val="00E03AF5"/>
    <w:rsid w:val="00E03B56"/>
    <w:rsid w:val="00E04320"/>
    <w:rsid w:val="00E0451A"/>
    <w:rsid w:val="00E0493E"/>
    <w:rsid w:val="00E04B99"/>
    <w:rsid w:val="00E04C47"/>
    <w:rsid w:val="00E04DAF"/>
    <w:rsid w:val="00E04EC7"/>
    <w:rsid w:val="00E04F0C"/>
    <w:rsid w:val="00E0501C"/>
    <w:rsid w:val="00E0546F"/>
    <w:rsid w:val="00E056F7"/>
    <w:rsid w:val="00E0577E"/>
    <w:rsid w:val="00E05C4B"/>
    <w:rsid w:val="00E05D91"/>
    <w:rsid w:val="00E05E0A"/>
    <w:rsid w:val="00E06FE8"/>
    <w:rsid w:val="00E070AC"/>
    <w:rsid w:val="00E072E6"/>
    <w:rsid w:val="00E10115"/>
    <w:rsid w:val="00E1035D"/>
    <w:rsid w:val="00E1099A"/>
    <w:rsid w:val="00E10D53"/>
    <w:rsid w:val="00E10D90"/>
    <w:rsid w:val="00E10ECA"/>
    <w:rsid w:val="00E11073"/>
    <w:rsid w:val="00E11232"/>
    <w:rsid w:val="00E1164B"/>
    <w:rsid w:val="00E118FB"/>
    <w:rsid w:val="00E11B80"/>
    <w:rsid w:val="00E11EB3"/>
    <w:rsid w:val="00E11F61"/>
    <w:rsid w:val="00E1215C"/>
    <w:rsid w:val="00E12185"/>
    <w:rsid w:val="00E12343"/>
    <w:rsid w:val="00E1240E"/>
    <w:rsid w:val="00E12509"/>
    <w:rsid w:val="00E1263D"/>
    <w:rsid w:val="00E127E8"/>
    <w:rsid w:val="00E12A74"/>
    <w:rsid w:val="00E12BF2"/>
    <w:rsid w:val="00E12C4B"/>
    <w:rsid w:val="00E12EB1"/>
    <w:rsid w:val="00E1320B"/>
    <w:rsid w:val="00E139B4"/>
    <w:rsid w:val="00E139BE"/>
    <w:rsid w:val="00E14473"/>
    <w:rsid w:val="00E1476D"/>
    <w:rsid w:val="00E149CB"/>
    <w:rsid w:val="00E14D66"/>
    <w:rsid w:val="00E14DCA"/>
    <w:rsid w:val="00E14F1E"/>
    <w:rsid w:val="00E15241"/>
    <w:rsid w:val="00E154E7"/>
    <w:rsid w:val="00E15581"/>
    <w:rsid w:val="00E1578F"/>
    <w:rsid w:val="00E1587E"/>
    <w:rsid w:val="00E15C98"/>
    <w:rsid w:val="00E15F65"/>
    <w:rsid w:val="00E16035"/>
    <w:rsid w:val="00E16558"/>
    <w:rsid w:val="00E16B37"/>
    <w:rsid w:val="00E172A6"/>
    <w:rsid w:val="00E17589"/>
    <w:rsid w:val="00E1780E"/>
    <w:rsid w:val="00E17CE1"/>
    <w:rsid w:val="00E17E68"/>
    <w:rsid w:val="00E20B08"/>
    <w:rsid w:val="00E20ED5"/>
    <w:rsid w:val="00E20ED6"/>
    <w:rsid w:val="00E212B1"/>
    <w:rsid w:val="00E217F1"/>
    <w:rsid w:val="00E219C1"/>
    <w:rsid w:val="00E21A87"/>
    <w:rsid w:val="00E21BC1"/>
    <w:rsid w:val="00E21F70"/>
    <w:rsid w:val="00E22240"/>
    <w:rsid w:val="00E23159"/>
    <w:rsid w:val="00E231AD"/>
    <w:rsid w:val="00E2325C"/>
    <w:rsid w:val="00E2338E"/>
    <w:rsid w:val="00E234AA"/>
    <w:rsid w:val="00E2391A"/>
    <w:rsid w:val="00E23FFC"/>
    <w:rsid w:val="00E249F1"/>
    <w:rsid w:val="00E24AAA"/>
    <w:rsid w:val="00E24C7C"/>
    <w:rsid w:val="00E24CE4"/>
    <w:rsid w:val="00E254D5"/>
    <w:rsid w:val="00E25A10"/>
    <w:rsid w:val="00E25FBC"/>
    <w:rsid w:val="00E26111"/>
    <w:rsid w:val="00E2615E"/>
    <w:rsid w:val="00E27017"/>
    <w:rsid w:val="00E27992"/>
    <w:rsid w:val="00E279BA"/>
    <w:rsid w:val="00E279BF"/>
    <w:rsid w:val="00E301FE"/>
    <w:rsid w:val="00E303BA"/>
    <w:rsid w:val="00E3059D"/>
    <w:rsid w:val="00E30A41"/>
    <w:rsid w:val="00E30C5B"/>
    <w:rsid w:val="00E30E98"/>
    <w:rsid w:val="00E31558"/>
    <w:rsid w:val="00E31B08"/>
    <w:rsid w:val="00E32263"/>
    <w:rsid w:val="00E32F54"/>
    <w:rsid w:val="00E33759"/>
    <w:rsid w:val="00E338E1"/>
    <w:rsid w:val="00E33C35"/>
    <w:rsid w:val="00E33F77"/>
    <w:rsid w:val="00E3432B"/>
    <w:rsid w:val="00E34546"/>
    <w:rsid w:val="00E34940"/>
    <w:rsid w:val="00E34A75"/>
    <w:rsid w:val="00E34E52"/>
    <w:rsid w:val="00E35206"/>
    <w:rsid w:val="00E35810"/>
    <w:rsid w:val="00E35AF9"/>
    <w:rsid w:val="00E35BB4"/>
    <w:rsid w:val="00E35CE6"/>
    <w:rsid w:val="00E360F3"/>
    <w:rsid w:val="00E36191"/>
    <w:rsid w:val="00E362DC"/>
    <w:rsid w:val="00E36716"/>
    <w:rsid w:val="00E36B97"/>
    <w:rsid w:val="00E370C6"/>
    <w:rsid w:val="00E371B7"/>
    <w:rsid w:val="00E37C8F"/>
    <w:rsid w:val="00E37DB7"/>
    <w:rsid w:val="00E37F33"/>
    <w:rsid w:val="00E4009F"/>
    <w:rsid w:val="00E40579"/>
    <w:rsid w:val="00E4091E"/>
    <w:rsid w:val="00E40F62"/>
    <w:rsid w:val="00E413CC"/>
    <w:rsid w:val="00E41426"/>
    <w:rsid w:val="00E41983"/>
    <w:rsid w:val="00E41C37"/>
    <w:rsid w:val="00E4215C"/>
    <w:rsid w:val="00E42465"/>
    <w:rsid w:val="00E42568"/>
    <w:rsid w:val="00E42621"/>
    <w:rsid w:val="00E42A37"/>
    <w:rsid w:val="00E42F97"/>
    <w:rsid w:val="00E4305C"/>
    <w:rsid w:val="00E4305F"/>
    <w:rsid w:val="00E43232"/>
    <w:rsid w:val="00E432C5"/>
    <w:rsid w:val="00E43339"/>
    <w:rsid w:val="00E43B2D"/>
    <w:rsid w:val="00E44CE5"/>
    <w:rsid w:val="00E44D56"/>
    <w:rsid w:val="00E44E7B"/>
    <w:rsid w:val="00E44EEA"/>
    <w:rsid w:val="00E455F8"/>
    <w:rsid w:val="00E45AA3"/>
    <w:rsid w:val="00E45C3B"/>
    <w:rsid w:val="00E46502"/>
    <w:rsid w:val="00E4666F"/>
    <w:rsid w:val="00E467EA"/>
    <w:rsid w:val="00E46B87"/>
    <w:rsid w:val="00E46DFA"/>
    <w:rsid w:val="00E470D1"/>
    <w:rsid w:val="00E47741"/>
    <w:rsid w:val="00E47E50"/>
    <w:rsid w:val="00E500EA"/>
    <w:rsid w:val="00E5041D"/>
    <w:rsid w:val="00E507D6"/>
    <w:rsid w:val="00E508DF"/>
    <w:rsid w:val="00E50DCE"/>
    <w:rsid w:val="00E51011"/>
    <w:rsid w:val="00E51074"/>
    <w:rsid w:val="00E51275"/>
    <w:rsid w:val="00E512C3"/>
    <w:rsid w:val="00E51636"/>
    <w:rsid w:val="00E51738"/>
    <w:rsid w:val="00E518D2"/>
    <w:rsid w:val="00E51B12"/>
    <w:rsid w:val="00E51B89"/>
    <w:rsid w:val="00E51F25"/>
    <w:rsid w:val="00E52900"/>
    <w:rsid w:val="00E52ED7"/>
    <w:rsid w:val="00E537CE"/>
    <w:rsid w:val="00E53903"/>
    <w:rsid w:val="00E53C2C"/>
    <w:rsid w:val="00E54252"/>
    <w:rsid w:val="00E5468B"/>
    <w:rsid w:val="00E54996"/>
    <w:rsid w:val="00E5506B"/>
    <w:rsid w:val="00E55157"/>
    <w:rsid w:val="00E553FC"/>
    <w:rsid w:val="00E55701"/>
    <w:rsid w:val="00E55E47"/>
    <w:rsid w:val="00E55FC2"/>
    <w:rsid w:val="00E560EC"/>
    <w:rsid w:val="00E5646A"/>
    <w:rsid w:val="00E56668"/>
    <w:rsid w:val="00E56780"/>
    <w:rsid w:val="00E56AAA"/>
    <w:rsid w:val="00E56AD9"/>
    <w:rsid w:val="00E56D9B"/>
    <w:rsid w:val="00E5708C"/>
    <w:rsid w:val="00E57E80"/>
    <w:rsid w:val="00E6046F"/>
    <w:rsid w:val="00E60887"/>
    <w:rsid w:val="00E60AE2"/>
    <w:rsid w:val="00E60CAB"/>
    <w:rsid w:val="00E618C6"/>
    <w:rsid w:val="00E6198B"/>
    <w:rsid w:val="00E61D99"/>
    <w:rsid w:val="00E61E73"/>
    <w:rsid w:val="00E61E8D"/>
    <w:rsid w:val="00E61F69"/>
    <w:rsid w:val="00E62034"/>
    <w:rsid w:val="00E62468"/>
    <w:rsid w:val="00E626F5"/>
    <w:rsid w:val="00E62AB8"/>
    <w:rsid w:val="00E62AD2"/>
    <w:rsid w:val="00E62AEC"/>
    <w:rsid w:val="00E635F7"/>
    <w:rsid w:val="00E63998"/>
    <w:rsid w:val="00E63CFA"/>
    <w:rsid w:val="00E63EEB"/>
    <w:rsid w:val="00E6433B"/>
    <w:rsid w:val="00E648EB"/>
    <w:rsid w:val="00E64B88"/>
    <w:rsid w:val="00E654A3"/>
    <w:rsid w:val="00E654D6"/>
    <w:rsid w:val="00E65511"/>
    <w:rsid w:val="00E656A6"/>
    <w:rsid w:val="00E65AF3"/>
    <w:rsid w:val="00E65B01"/>
    <w:rsid w:val="00E65D00"/>
    <w:rsid w:val="00E66142"/>
    <w:rsid w:val="00E662D5"/>
    <w:rsid w:val="00E6684F"/>
    <w:rsid w:val="00E66F4D"/>
    <w:rsid w:val="00E66F4E"/>
    <w:rsid w:val="00E67537"/>
    <w:rsid w:val="00E679A8"/>
    <w:rsid w:val="00E67E35"/>
    <w:rsid w:val="00E70151"/>
    <w:rsid w:val="00E7037E"/>
    <w:rsid w:val="00E7050B"/>
    <w:rsid w:val="00E707E2"/>
    <w:rsid w:val="00E7087A"/>
    <w:rsid w:val="00E708E8"/>
    <w:rsid w:val="00E70D93"/>
    <w:rsid w:val="00E7106C"/>
    <w:rsid w:val="00E7118F"/>
    <w:rsid w:val="00E7124B"/>
    <w:rsid w:val="00E713C0"/>
    <w:rsid w:val="00E714DE"/>
    <w:rsid w:val="00E7199C"/>
    <w:rsid w:val="00E72697"/>
    <w:rsid w:val="00E72B7E"/>
    <w:rsid w:val="00E7341D"/>
    <w:rsid w:val="00E734AF"/>
    <w:rsid w:val="00E737C8"/>
    <w:rsid w:val="00E74064"/>
    <w:rsid w:val="00E740BB"/>
    <w:rsid w:val="00E74298"/>
    <w:rsid w:val="00E743C6"/>
    <w:rsid w:val="00E7443B"/>
    <w:rsid w:val="00E745EA"/>
    <w:rsid w:val="00E74826"/>
    <w:rsid w:val="00E74950"/>
    <w:rsid w:val="00E74DF5"/>
    <w:rsid w:val="00E74EA9"/>
    <w:rsid w:val="00E751B7"/>
    <w:rsid w:val="00E75543"/>
    <w:rsid w:val="00E75763"/>
    <w:rsid w:val="00E758C0"/>
    <w:rsid w:val="00E75A41"/>
    <w:rsid w:val="00E75F5C"/>
    <w:rsid w:val="00E764D2"/>
    <w:rsid w:val="00E7698A"/>
    <w:rsid w:val="00E76E13"/>
    <w:rsid w:val="00E76E49"/>
    <w:rsid w:val="00E7741F"/>
    <w:rsid w:val="00E775A5"/>
    <w:rsid w:val="00E776D6"/>
    <w:rsid w:val="00E776EA"/>
    <w:rsid w:val="00E779AD"/>
    <w:rsid w:val="00E77B04"/>
    <w:rsid w:val="00E77EFD"/>
    <w:rsid w:val="00E80034"/>
    <w:rsid w:val="00E80097"/>
    <w:rsid w:val="00E80A86"/>
    <w:rsid w:val="00E80CEE"/>
    <w:rsid w:val="00E80FA1"/>
    <w:rsid w:val="00E80FD1"/>
    <w:rsid w:val="00E8117F"/>
    <w:rsid w:val="00E811A3"/>
    <w:rsid w:val="00E81466"/>
    <w:rsid w:val="00E814B1"/>
    <w:rsid w:val="00E81B42"/>
    <w:rsid w:val="00E82362"/>
    <w:rsid w:val="00E82454"/>
    <w:rsid w:val="00E825DC"/>
    <w:rsid w:val="00E82690"/>
    <w:rsid w:val="00E82C26"/>
    <w:rsid w:val="00E8368A"/>
    <w:rsid w:val="00E837B7"/>
    <w:rsid w:val="00E83CD5"/>
    <w:rsid w:val="00E83E44"/>
    <w:rsid w:val="00E84053"/>
    <w:rsid w:val="00E843DA"/>
    <w:rsid w:val="00E8442A"/>
    <w:rsid w:val="00E845FF"/>
    <w:rsid w:val="00E84737"/>
    <w:rsid w:val="00E848FC"/>
    <w:rsid w:val="00E84CDB"/>
    <w:rsid w:val="00E85070"/>
    <w:rsid w:val="00E85443"/>
    <w:rsid w:val="00E855A3"/>
    <w:rsid w:val="00E85844"/>
    <w:rsid w:val="00E8591F"/>
    <w:rsid w:val="00E85AFF"/>
    <w:rsid w:val="00E8604D"/>
    <w:rsid w:val="00E860EB"/>
    <w:rsid w:val="00E86245"/>
    <w:rsid w:val="00E863E5"/>
    <w:rsid w:val="00E865D3"/>
    <w:rsid w:val="00E86C82"/>
    <w:rsid w:val="00E86DFB"/>
    <w:rsid w:val="00E87752"/>
    <w:rsid w:val="00E87878"/>
    <w:rsid w:val="00E900C1"/>
    <w:rsid w:val="00E905D9"/>
    <w:rsid w:val="00E90A9E"/>
    <w:rsid w:val="00E90B7E"/>
    <w:rsid w:val="00E90ED1"/>
    <w:rsid w:val="00E911EA"/>
    <w:rsid w:val="00E916FA"/>
    <w:rsid w:val="00E9174D"/>
    <w:rsid w:val="00E917AC"/>
    <w:rsid w:val="00E91EEA"/>
    <w:rsid w:val="00E91F62"/>
    <w:rsid w:val="00E92108"/>
    <w:rsid w:val="00E92312"/>
    <w:rsid w:val="00E925E4"/>
    <w:rsid w:val="00E92E5F"/>
    <w:rsid w:val="00E93301"/>
    <w:rsid w:val="00E936D2"/>
    <w:rsid w:val="00E938D9"/>
    <w:rsid w:val="00E93A76"/>
    <w:rsid w:val="00E93CA3"/>
    <w:rsid w:val="00E942BA"/>
    <w:rsid w:val="00E94309"/>
    <w:rsid w:val="00E943CC"/>
    <w:rsid w:val="00E94659"/>
    <w:rsid w:val="00E9474A"/>
    <w:rsid w:val="00E94D26"/>
    <w:rsid w:val="00E94F78"/>
    <w:rsid w:val="00E94F94"/>
    <w:rsid w:val="00E95180"/>
    <w:rsid w:val="00E95570"/>
    <w:rsid w:val="00E956CB"/>
    <w:rsid w:val="00E95B3E"/>
    <w:rsid w:val="00E95DD6"/>
    <w:rsid w:val="00E96271"/>
    <w:rsid w:val="00E9636D"/>
    <w:rsid w:val="00E9666D"/>
    <w:rsid w:val="00E966D2"/>
    <w:rsid w:val="00E968D3"/>
    <w:rsid w:val="00E969D0"/>
    <w:rsid w:val="00E96C13"/>
    <w:rsid w:val="00E96FCE"/>
    <w:rsid w:val="00E972AC"/>
    <w:rsid w:val="00E9737F"/>
    <w:rsid w:val="00E973BC"/>
    <w:rsid w:val="00E977BE"/>
    <w:rsid w:val="00E977E4"/>
    <w:rsid w:val="00E97804"/>
    <w:rsid w:val="00E97819"/>
    <w:rsid w:val="00E9784C"/>
    <w:rsid w:val="00E97A04"/>
    <w:rsid w:val="00E97A82"/>
    <w:rsid w:val="00E97EB8"/>
    <w:rsid w:val="00EA00FB"/>
    <w:rsid w:val="00EA0615"/>
    <w:rsid w:val="00EA0A0C"/>
    <w:rsid w:val="00EA0D20"/>
    <w:rsid w:val="00EA0E01"/>
    <w:rsid w:val="00EA0E73"/>
    <w:rsid w:val="00EA0FA0"/>
    <w:rsid w:val="00EA106F"/>
    <w:rsid w:val="00EA11A3"/>
    <w:rsid w:val="00EA1293"/>
    <w:rsid w:val="00EA16B7"/>
    <w:rsid w:val="00EA1F73"/>
    <w:rsid w:val="00EA22A1"/>
    <w:rsid w:val="00EA22D5"/>
    <w:rsid w:val="00EA23B5"/>
    <w:rsid w:val="00EA23C2"/>
    <w:rsid w:val="00EA270E"/>
    <w:rsid w:val="00EA2A70"/>
    <w:rsid w:val="00EA32E7"/>
    <w:rsid w:val="00EA35CF"/>
    <w:rsid w:val="00EA36BD"/>
    <w:rsid w:val="00EA3841"/>
    <w:rsid w:val="00EA39D7"/>
    <w:rsid w:val="00EA39EE"/>
    <w:rsid w:val="00EA3BCC"/>
    <w:rsid w:val="00EA3CB4"/>
    <w:rsid w:val="00EA3E44"/>
    <w:rsid w:val="00EA43BA"/>
    <w:rsid w:val="00EA4495"/>
    <w:rsid w:val="00EA460A"/>
    <w:rsid w:val="00EA4643"/>
    <w:rsid w:val="00EA48D2"/>
    <w:rsid w:val="00EA4BD2"/>
    <w:rsid w:val="00EA4F8D"/>
    <w:rsid w:val="00EA5600"/>
    <w:rsid w:val="00EA59F1"/>
    <w:rsid w:val="00EA5A0A"/>
    <w:rsid w:val="00EA5B5F"/>
    <w:rsid w:val="00EA5D67"/>
    <w:rsid w:val="00EA61D9"/>
    <w:rsid w:val="00EA645E"/>
    <w:rsid w:val="00EA6513"/>
    <w:rsid w:val="00EA6BE2"/>
    <w:rsid w:val="00EA6F0A"/>
    <w:rsid w:val="00EA71E8"/>
    <w:rsid w:val="00EA73D7"/>
    <w:rsid w:val="00EA75E5"/>
    <w:rsid w:val="00EB01F2"/>
    <w:rsid w:val="00EB0415"/>
    <w:rsid w:val="00EB07DA"/>
    <w:rsid w:val="00EB085D"/>
    <w:rsid w:val="00EB085E"/>
    <w:rsid w:val="00EB09E2"/>
    <w:rsid w:val="00EB0A08"/>
    <w:rsid w:val="00EB0A9A"/>
    <w:rsid w:val="00EB0EDC"/>
    <w:rsid w:val="00EB164C"/>
    <w:rsid w:val="00EB1865"/>
    <w:rsid w:val="00EB1C6A"/>
    <w:rsid w:val="00EB1D21"/>
    <w:rsid w:val="00EB1DF5"/>
    <w:rsid w:val="00EB2027"/>
    <w:rsid w:val="00EB214E"/>
    <w:rsid w:val="00EB32D9"/>
    <w:rsid w:val="00EB362F"/>
    <w:rsid w:val="00EB394F"/>
    <w:rsid w:val="00EB3AE1"/>
    <w:rsid w:val="00EB4172"/>
    <w:rsid w:val="00EB4708"/>
    <w:rsid w:val="00EB48BB"/>
    <w:rsid w:val="00EB49C4"/>
    <w:rsid w:val="00EB4E5A"/>
    <w:rsid w:val="00EB5363"/>
    <w:rsid w:val="00EB553B"/>
    <w:rsid w:val="00EB6313"/>
    <w:rsid w:val="00EB6512"/>
    <w:rsid w:val="00EB6DE4"/>
    <w:rsid w:val="00EB6F80"/>
    <w:rsid w:val="00EB7136"/>
    <w:rsid w:val="00EB71CD"/>
    <w:rsid w:val="00EB7808"/>
    <w:rsid w:val="00EB7C08"/>
    <w:rsid w:val="00EB7F99"/>
    <w:rsid w:val="00EB7FD2"/>
    <w:rsid w:val="00EC00C6"/>
    <w:rsid w:val="00EC0164"/>
    <w:rsid w:val="00EC0475"/>
    <w:rsid w:val="00EC0CBF"/>
    <w:rsid w:val="00EC0E50"/>
    <w:rsid w:val="00EC1B03"/>
    <w:rsid w:val="00EC2241"/>
    <w:rsid w:val="00EC227D"/>
    <w:rsid w:val="00EC2EE0"/>
    <w:rsid w:val="00EC3187"/>
    <w:rsid w:val="00EC3247"/>
    <w:rsid w:val="00EC367D"/>
    <w:rsid w:val="00EC36E9"/>
    <w:rsid w:val="00EC3BCB"/>
    <w:rsid w:val="00EC40D1"/>
    <w:rsid w:val="00EC4119"/>
    <w:rsid w:val="00EC4831"/>
    <w:rsid w:val="00EC4FFB"/>
    <w:rsid w:val="00EC5039"/>
    <w:rsid w:val="00EC5064"/>
    <w:rsid w:val="00EC53C6"/>
    <w:rsid w:val="00EC5556"/>
    <w:rsid w:val="00EC561B"/>
    <w:rsid w:val="00EC563D"/>
    <w:rsid w:val="00EC5918"/>
    <w:rsid w:val="00EC598E"/>
    <w:rsid w:val="00EC5D0F"/>
    <w:rsid w:val="00EC6C15"/>
    <w:rsid w:val="00EC6D0B"/>
    <w:rsid w:val="00EC6EB9"/>
    <w:rsid w:val="00EC71A5"/>
    <w:rsid w:val="00EC71D0"/>
    <w:rsid w:val="00EC76EC"/>
    <w:rsid w:val="00EC7EDD"/>
    <w:rsid w:val="00EC7F60"/>
    <w:rsid w:val="00ED04DA"/>
    <w:rsid w:val="00ED0751"/>
    <w:rsid w:val="00ED0AD1"/>
    <w:rsid w:val="00ED1183"/>
    <w:rsid w:val="00ED13C4"/>
    <w:rsid w:val="00ED158F"/>
    <w:rsid w:val="00ED19CF"/>
    <w:rsid w:val="00ED1BE2"/>
    <w:rsid w:val="00ED1D77"/>
    <w:rsid w:val="00ED1FD0"/>
    <w:rsid w:val="00ED2077"/>
    <w:rsid w:val="00ED2265"/>
    <w:rsid w:val="00ED22AB"/>
    <w:rsid w:val="00ED2519"/>
    <w:rsid w:val="00ED2853"/>
    <w:rsid w:val="00ED2A17"/>
    <w:rsid w:val="00ED2CC5"/>
    <w:rsid w:val="00ED2D64"/>
    <w:rsid w:val="00ED2F4B"/>
    <w:rsid w:val="00ED30E4"/>
    <w:rsid w:val="00ED383C"/>
    <w:rsid w:val="00ED38C5"/>
    <w:rsid w:val="00ED39BD"/>
    <w:rsid w:val="00ED3A93"/>
    <w:rsid w:val="00ED3C8A"/>
    <w:rsid w:val="00ED3D80"/>
    <w:rsid w:val="00ED4204"/>
    <w:rsid w:val="00ED4596"/>
    <w:rsid w:val="00ED47E8"/>
    <w:rsid w:val="00ED49FE"/>
    <w:rsid w:val="00ED4DCB"/>
    <w:rsid w:val="00ED4E01"/>
    <w:rsid w:val="00ED4EE9"/>
    <w:rsid w:val="00ED502C"/>
    <w:rsid w:val="00ED54FB"/>
    <w:rsid w:val="00ED5730"/>
    <w:rsid w:val="00ED58B2"/>
    <w:rsid w:val="00ED6077"/>
    <w:rsid w:val="00ED615A"/>
    <w:rsid w:val="00ED6279"/>
    <w:rsid w:val="00ED6333"/>
    <w:rsid w:val="00ED653C"/>
    <w:rsid w:val="00ED6A56"/>
    <w:rsid w:val="00ED6B34"/>
    <w:rsid w:val="00ED7479"/>
    <w:rsid w:val="00ED7960"/>
    <w:rsid w:val="00ED7979"/>
    <w:rsid w:val="00EE0089"/>
    <w:rsid w:val="00EE07A2"/>
    <w:rsid w:val="00EE085F"/>
    <w:rsid w:val="00EE0EDF"/>
    <w:rsid w:val="00EE0F4D"/>
    <w:rsid w:val="00EE1901"/>
    <w:rsid w:val="00EE1A61"/>
    <w:rsid w:val="00EE1BF8"/>
    <w:rsid w:val="00EE2B9C"/>
    <w:rsid w:val="00EE2C9A"/>
    <w:rsid w:val="00EE2CFB"/>
    <w:rsid w:val="00EE3271"/>
    <w:rsid w:val="00EE365F"/>
    <w:rsid w:val="00EE3CA5"/>
    <w:rsid w:val="00EE3D6C"/>
    <w:rsid w:val="00EE4A5C"/>
    <w:rsid w:val="00EE4B01"/>
    <w:rsid w:val="00EE4B67"/>
    <w:rsid w:val="00EE4CF6"/>
    <w:rsid w:val="00EE4DB1"/>
    <w:rsid w:val="00EE4F39"/>
    <w:rsid w:val="00EE4F6A"/>
    <w:rsid w:val="00EE5173"/>
    <w:rsid w:val="00EE5C34"/>
    <w:rsid w:val="00EE660C"/>
    <w:rsid w:val="00EE66AE"/>
    <w:rsid w:val="00EE67CA"/>
    <w:rsid w:val="00EE695A"/>
    <w:rsid w:val="00EE6F11"/>
    <w:rsid w:val="00EE700B"/>
    <w:rsid w:val="00EE71AC"/>
    <w:rsid w:val="00EE71AE"/>
    <w:rsid w:val="00EE7264"/>
    <w:rsid w:val="00EE73DD"/>
    <w:rsid w:val="00EE77F1"/>
    <w:rsid w:val="00EE79D0"/>
    <w:rsid w:val="00EE7DCC"/>
    <w:rsid w:val="00EE7E78"/>
    <w:rsid w:val="00EF0618"/>
    <w:rsid w:val="00EF0871"/>
    <w:rsid w:val="00EF0B65"/>
    <w:rsid w:val="00EF10E3"/>
    <w:rsid w:val="00EF1204"/>
    <w:rsid w:val="00EF1207"/>
    <w:rsid w:val="00EF163A"/>
    <w:rsid w:val="00EF1887"/>
    <w:rsid w:val="00EF18BF"/>
    <w:rsid w:val="00EF244D"/>
    <w:rsid w:val="00EF2A2E"/>
    <w:rsid w:val="00EF2A3B"/>
    <w:rsid w:val="00EF2B41"/>
    <w:rsid w:val="00EF2EBC"/>
    <w:rsid w:val="00EF3336"/>
    <w:rsid w:val="00EF3763"/>
    <w:rsid w:val="00EF385E"/>
    <w:rsid w:val="00EF39B1"/>
    <w:rsid w:val="00EF3D24"/>
    <w:rsid w:val="00EF41B7"/>
    <w:rsid w:val="00EF428B"/>
    <w:rsid w:val="00EF4458"/>
    <w:rsid w:val="00EF46BD"/>
    <w:rsid w:val="00EF4825"/>
    <w:rsid w:val="00EF4ADB"/>
    <w:rsid w:val="00EF4B30"/>
    <w:rsid w:val="00EF4DE1"/>
    <w:rsid w:val="00EF5265"/>
    <w:rsid w:val="00EF5966"/>
    <w:rsid w:val="00EF5BB2"/>
    <w:rsid w:val="00EF5CFC"/>
    <w:rsid w:val="00EF5DBC"/>
    <w:rsid w:val="00EF5EF5"/>
    <w:rsid w:val="00EF69EC"/>
    <w:rsid w:val="00EF6D2A"/>
    <w:rsid w:val="00EF7025"/>
    <w:rsid w:val="00EF703D"/>
    <w:rsid w:val="00EF7CA8"/>
    <w:rsid w:val="00F0019E"/>
    <w:rsid w:val="00F00276"/>
    <w:rsid w:val="00F00418"/>
    <w:rsid w:val="00F004EA"/>
    <w:rsid w:val="00F007DB"/>
    <w:rsid w:val="00F00C7A"/>
    <w:rsid w:val="00F00D2D"/>
    <w:rsid w:val="00F00F47"/>
    <w:rsid w:val="00F01020"/>
    <w:rsid w:val="00F01458"/>
    <w:rsid w:val="00F016B0"/>
    <w:rsid w:val="00F017FF"/>
    <w:rsid w:val="00F0182F"/>
    <w:rsid w:val="00F01C15"/>
    <w:rsid w:val="00F01C20"/>
    <w:rsid w:val="00F021D7"/>
    <w:rsid w:val="00F023EA"/>
    <w:rsid w:val="00F02720"/>
    <w:rsid w:val="00F029EF"/>
    <w:rsid w:val="00F02B59"/>
    <w:rsid w:val="00F02D7F"/>
    <w:rsid w:val="00F03019"/>
    <w:rsid w:val="00F03AFA"/>
    <w:rsid w:val="00F03EEB"/>
    <w:rsid w:val="00F040A1"/>
    <w:rsid w:val="00F04133"/>
    <w:rsid w:val="00F04342"/>
    <w:rsid w:val="00F043E7"/>
    <w:rsid w:val="00F048EF"/>
    <w:rsid w:val="00F04C49"/>
    <w:rsid w:val="00F05464"/>
    <w:rsid w:val="00F056E1"/>
    <w:rsid w:val="00F057F0"/>
    <w:rsid w:val="00F0604F"/>
    <w:rsid w:val="00F065E2"/>
    <w:rsid w:val="00F06805"/>
    <w:rsid w:val="00F06807"/>
    <w:rsid w:val="00F06F41"/>
    <w:rsid w:val="00F07055"/>
    <w:rsid w:val="00F072F0"/>
    <w:rsid w:val="00F0756E"/>
    <w:rsid w:val="00F07573"/>
    <w:rsid w:val="00F07624"/>
    <w:rsid w:val="00F07B08"/>
    <w:rsid w:val="00F07B75"/>
    <w:rsid w:val="00F07BDE"/>
    <w:rsid w:val="00F07F54"/>
    <w:rsid w:val="00F07FAE"/>
    <w:rsid w:val="00F101A4"/>
    <w:rsid w:val="00F10341"/>
    <w:rsid w:val="00F10704"/>
    <w:rsid w:val="00F10730"/>
    <w:rsid w:val="00F107F7"/>
    <w:rsid w:val="00F1089C"/>
    <w:rsid w:val="00F1098D"/>
    <w:rsid w:val="00F10A39"/>
    <w:rsid w:val="00F111BA"/>
    <w:rsid w:val="00F111FA"/>
    <w:rsid w:val="00F1126C"/>
    <w:rsid w:val="00F115BD"/>
    <w:rsid w:val="00F119AB"/>
    <w:rsid w:val="00F11B75"/>
    <w:rsid w:val="00F11C8B"/>
    <w:rsid w:val="00F11D77"/>
    <w:rsid w:val="00F12E21"/>
    <w:rsid w:val="00F12E36"/>
    <w:rsid w:val="00F12FCD"/>
    <w:rsid w:val="00F13148"/>
    <w:rsid w:val="00F13332"/>
    <w:rsid w:val="00F134F4"/>
    <w:rsid w:val="00F1405E"/>
    <w:rsid w:val="00F140A9"/>
    <w:rsid w:val="00F140D8"/>
    <w:rsid w:val="00F14C8A"/>
    <w:rsid w:val="00F15080"/>
    <w:rsid w:val="00F15864"/>
    <w:rsid w:val="00F15EFF"/>
    <w:rsid w:val="00F16270"/>
    <w:rsid w:val="00F1630D"/>
    <w:rsid w:val="00F16873"/>
    <w:rsid w:val="00F168C4"/>
    <w:rsid w:val="00F16B39"/>
    <w:rsid w:val="00F16C88"/>
    <w:rsid w:val="00F16E07"/>
    <w:rsid w:val="00F16ED8"/>
    <w:rsid w:val="00F17A65"/>
    <w:rsid w:val="00F17C68"/>
    <w:rsid w:val="00F2017C"/>
    <w:rsid w:val="00F2121A"/>
    <w:rsid w:val="00F21597"/>
    <w:rsid w:val="00F215C6"/>
    <w:rsid w:val="00F21700"/>
    <w:rsid w:val="00F2182A"/>
    <w:rsid w:val="00F21882"/>
    <w:rsid w:val="00F21B31"/>
    <w:rsid w:val="00F2231C"/>
    <w:rsid w:val="00F22871"/>
    <w:rsid w:val="00F22E93"/>
    <w:rsid w:val="00F22F6D"/>
    <w:rsid w:val="00F23086"/>
    <w:rsid w:val="00F235D3"/>
    <w:rsid w:val="00F237AB"/>
    <w:rsid w:val="00F237B7"/>
    <w:rsid w:val="00F2394F"/>
    <w:rsid w:val="00F239D7"/>
    <w:rsid w:val="00F23B86"/>
    <w:rsid w:val="00F23F7D"/>
    <w:rsid w:val="00F24151"/>
    <w:rsid w:val="00F2420C"/>
    <w:rsid w:val="00F24232"/>
    <w:rsid w:val="00F242C4"/>
    <w:rsid w:val="00F243DB"/>
    <w:rsid w:val="00F2446D"/>
    <w:rsid w:val="00F248C7"/>
    <w:rsid w:val="00F24CF4"/>
    <w:rsid w:val="00F24F4C"/>
    <w:rsid w:val="00F24F7D"/>
    <w:rsid w:val="00F24FD3"/>
    <w:rsid w:val="00F259C1"/>
    <w:rsid w:val="00F25E82"/>
    <w:rsid w:val="00F2669E"/>
    <w:rsid w:val="00F26798"/>
    <w:rsid w:val="00F26908"/>
    <w:rsid w:val="00F26A13"/>
    <w:rsid w:val="00F26B43"/>
    <w:rsid w:val="00F26D52"/>
    <w:rsid w:val="00F26F46"/>
    <w:rsid w:val="00F27206"/>
    <w:rsid w:val="00F27CAD"/>
    <w:rsid w:val="00F27EDA"/>
    <w:rsid w:val="00F27EED"/>
    <w:rsid w:val="00F301DD"/>
    <w:rsid w:val="00F3044F"/>
    <w:rsid w:val="00F3059E"/>
    <w:rsid w:val="00F30EC9"/>
    <w:rsid w:val="00F320F3"/>
    <w:rsid w:val="00F32100"/>
    <w:rsid w:val="00F32152"/>
    <w:rsid w:val="00F326A6"/>
    <w:rsid w:val="00F32951"/>
    <w:rsid w:val="00F32CB5"/>
    <w:rsid w:val="00F33374"/>
    <w:rsid w:val="00F336DC"/>
    <w:rsid w:val="00F336E3"/>
    <w:rsid w:val="00F33866"/>
    <w:rsid w:val="00F33A74"/>
    <w:rsid w:val="00F33BD1"/>
    <w:rsid w:val="00F34A16"/>
    <w:rsid w:val="00F34E17"/>
    <w:rsid w:val="00F34F37"/>
    <w:rsid w:val="00F350F2"/>
    <w:rsid w:val="00F35178"/>
    <w:rsid w:val="00F35331"/>
    <w:rsid w:val="00F35A82"/>
    <w:rsid w:val="00F35B7C"/>
    <w:rsid w:val="00F35C3E"/>
    <w:rsid w:val="00F35E6A"/>
    <w:rsid w:val="00F36001"/>
    <w:rsid w:val="00F36393"/>
    <w:rsid w:val="00F364E8"/>
    <w:rsid w:val="00F3655B"/>
    <w:rsid w:val="00F3677A"/>
    <w:rsid w:val="00F3681A"/>
    <w:rsid w:val="00F36833"/>
    <w:rsid w:val="00F369B8"/>
    <w:rsid w:val="00F36D1E"/>
    <w:rsid w:val="00F37078"/>
    <w:rsid w:val="00F37D3B"/>
    <w:rsid w:val="00F37F80"/>
    <w:rsid w:val="00F40525"/>
    <w:rsid w:val="00F40865"/>
    <w:rsid w:val="00F413BD"/>
    <w:rsid w:val="00F41414"/>
    <w:rsid w:val="00F41484"/>
    <w:rsid w:val="00F41827"/>
    <w:rsid w:val="00F41983"/>
    <w:rsid w:val="00F41DC2"/>
    <w:rsid w:val="00F41FF9"/>
    <w:rsid w:val="00F422A5"/>
    <w:rsid w:val="00F424BD"/>
    <w:rsid w:val="00F42C1E"/>
    <w:rsid w:val="00F4310E"/>
    <w:rsid w:val="00F4320C"/>
    <w:rsid w:val="00F435F6"/>
    <w:rsid w:val="00F43876"/>
    <w:rsid w:val="00F438B9"/>
    <w:rsid w:val="00F43BED"/>
    <w:rsid w:val="00F43CF3"/>
    <w:rsid w:val="00F43D56"/>
    <w:rsid w:val="00F43EC9"/>
    <w:rsid w:val="00F43F01"/>
    <w:rsid w:val="00F447FA"/>
    <w:rsid w:val="00F44D23"/>
    <w:rsid w:val="00F44E0A"/>
    <w:rsid w:val="00F45188"/>
    <w:rsid w:val="00F453AA"/>
    <w:rsid w:val="00F45591"/>
    <w:rsid w:val="00F457AA"/>
    <w:rsid w:val="00F45A36"/>
    <w:rsid w:val="00F45BA0"/>
    <w:rsid w:val="00F45BA8"/>
    <w:rsid w:val="00F460BE"/>
    <w:rsid w:val="00F46111"/>
    <w:rsid w:val="00F46185"/>
    <w:rsid w:val="00F46AB2"/>
    <w:rsid w:val="00F46FD1"/>
    <w:rsid w:val="00F4726B"/>
    <w:rsid w:val="00F47ACD"/>
    <w:rsid w:val="00F47B40"/>
    <w:rsid w:val="00F47E74"/>
    <w:rsid w:val="00F47F81"/>
    <w:rsid w:val="00F50095"/>
    <w:rsid w:val="00F503EC"/>
    <w:rsid w:val="00F50764"/>
    <w:rsid w:val="00F508DA"/>
    <w:rsid w:val="00F51026"/>
    <w:rsid w:val="00F514EB"/>
    <w:rsid w:val="00F51722"/>
    <w:rsid w:val="00F51833"/>
    <w:rsid w:val="00F51E45"/>
    <w:rsid w:val="00F52BC6"/>
    <w:rsid w:val="00F53434"/>
    <w:rsid w:val="00F5345E"/>
    <w:rsid w:val="00F539CC"/>
    <w:rsid w:val="00F53C51"/>
    <w:rsid w:val="00F53C9D"/>
    <w:rsid w:val="00F53F22"/>
    <w:rsid w:val="00F540D1"/>
    <w:rsid w:val="00F545D6"/>
    <w:rsid w:val="00F54BF4"/>
    <w:rsid w:val="00F55103"/>
    <w:rsid w:val="00F55117"/>
    <w:rsid w:val="00F551D9"/>
    <w:rsid w:val="00F55514"/>
    <w:rsid w:val="00F55A0E"/>
    <w:rsid w:val="00F55A3D"/>
    <w:rsid w:val="00F562B5"/>
    <w:rsid w:val="00F56773"/>
    <w:rsid w:val="00F567BC"/>
    <w:rsid w:val="00F56931"/>
    <w:rsid w:val="00F56BF8"/>
    <w:rsid w:val="00F56CB3"/>
    <w:rsid w:val="00F56DEF"/>
    <w:rsid w:val="00F57471"/>
    <w:rsid w:val="00F57AEF"/>
    <w:rsid w:val="00F57B23"/>
    <w:rsid w:val="00F600EA"/>
    <w:rsid w:val="00F60284"/>
    <w:rsid w:val="00F604F3"/>
    <w:rsid w:val="00F609DD"/>
    <w:rsid w:val="00F60FC1"/>
    <w:rsid w:val="00F61130"/>
    <w:rsid w:val="00F61612"/>
    <w:rsid w:val="00F61CD3"/>
    <w:rsid w:val="00F61CF4"/>
    <w:rsid w:val="00F6221F"/>
    <w:rsid w:val="00F62AB8"/>
    <w:rsid w:val="00F62FC7"/>
    <w:rsid w:val="00F63051"/>
    <w:rsid w:val="00F63079"/>
    <w:rsid w:val="00F63262"/>
    <w:rsid w:val="00F63357"/>
    <w:rsid w:val="00F634E4"/>
    <w:rsid w:val="00F63512"/>
    <w:rsid w:val="00F63AC8"/>
    <w:rsid w:val="00F63BC3"/>
    <w:rsid w:val="00F63D3E"/>
    <w:rsid w:val="00F63F44"/>
    <w:rsid w:val="00F64236"/>
    <w:rsid w:val="00F643BF"/>
    <w:rsid w:val="00F6452F"/>
    <w:rsid w:val="00F64B15"/>
    <w:rsid w:val="00F64BB1"/>
    <w:rsid w:val="00F64CCA"/>
    <w:rsid w:val="00F651E6"/>
    <w:rsid w:val="00F6584F"/>
    <w:rsid w:val="00F65C8B"/>
    <w:rsid w:val="00F66020"/>
    <w:rsid w:val="00F66072"/>
    <w:rsid w:val="00F660C5"/>
    <w:rsid w:val="00F660E8"/>
    <w:rsid w:val="00F662A2"/>
    <w:rsid w:val="00F663AE"/>
    <w:rsid w:val="00F6668A"/>
    <w:rsid w:val="00F66747"/>
    <w:rsid w:val="00F66D67"/>
    <w:rsid w:val="00F66F35"/>
    <w:rsid w:val="00F670C1"/>
    <w:rsid w:val="00F675F5"/>
    <w:rsid w:val="00F677E4"/>
    <w:rsid w:val="00F678C8"/>
    <w:rsid w:val="00F6793E"/>
    <w:rsid w:val="00F67CBE"/>
    <w:rsid w:val="00F704D6"/>
    <w:rsid w:val="00F70858"/>
    <w:rsid w:val="00F70DE8"/>
    <w:rsid w:val="00F71355"/>
    <w:rsid w:val="00F7149F"/>
    <w:rsid w:val="00F71582"/>
    <w:rsid w:val="00F71DE1"/>
    <w:rsid w:val="00F71E2B"/>
    <w:rsid w:val="00F721A3"/>
    <w:rsid w:val="00F723A2"/>
    <w:rsid w:val="00F72764"/>
    <w:rsid w:val="00F727C9"/>
    <w:rsid w:val="00F72BC8"/>
    <w:rsid w:val="00F72D46"/>
    <w:rsid w:val="00F7300F"/>
    <w:rsid w:val="00F73359"/>
    <w:rsid w:val="00F73420"/>
    <w:rsid w:val="00F73645"/>
    <w:rsid w:val="00F73761"/>
    <w:rsid w:val="00F73846"/>
    <w:rsid w:val="00F73AA7"/>
    <w:rsid w:val="00F73D40"/>
    <w:rsid w:val="00F7463E"/>
    <w:rsid w:val="00F7470D"/>
    <w:rsid w:val="00F74B31"/>
    <w:rsid w:val="00F75048"/>
    <w:rsid w:val="00F75143"/>
    <w:rsid w:val="00F75C99"/>
    <w:rsid w:val="00F761BE"/>
    <w:rsid w:val="00F7679D"/>
    <w:rsid w:val="00F7683B"/>
    <w:rsid w:val="00F76BD1"/>
    <w:rsid w:val="00F76CAB"/>
    <w:rsid w:val="00F76DBB"/>
    <w:rsid w:val="00F76E02"/>
    <w:rsid w:val="00F76E9F"/>
    <w:rsid w:val="00F7733E"/>
    <w:rsid w:val="00F77BF4"/>
    <w:rsid w:val="00F77D61"/>
    <w:rsid w:val="00F8005E"/>
    <w:rsid w:val="00F80605"/>
    <w:rsid w:val="00F81672"/>
    <w:rsid w:val="00F818F4"/>
    <w:rsid w:val="00F81B7B"/>
    <w:rsid w:val="00F81C24"/>
    <w:rsid w:val="00F81F01"/>
    <w:rsid w:val="00F81F54"/>
    <w:rsid w:val="00F82095"/>
    <w:rsid w:val="00F82392"/>
    <w:rsid w:val="00F826DB"/>
    <w:rsid w:val="00F82740"/>
    <w:rsid w:val="00F82A39"/>
    <w:rsid w:val="00F83524"/>
    <w:rsid w:val="00F8363D"/>
    <w:rsid w:val="00F83803"/>
    <w:rsid w:val="00F83AE8"/>
    <w:rsid w:val="00F83E70"/>
    <w:rsid w:val="00F8420E"/>
    <w:rsid w:val="00F843A9"/>
    <w:rsid w:val="00F844D1"/>
    <w:rsid w:val="00F84643"/>
    <w:rsid w:val="00F84857"/>
    <w:rsid w:val="00F8495B"/>
    <w:rsid w:val="00F84C11"/>
    <w:rsid w:val="00F8518E"/>
    <w:rsid w:val="00F85309"/>
    <w:rsid w:val="00F853DC"/>
    <w:rsid w:val="00F85545"/>
    <w:rsid w:val="00F858BF"/>
    <w:rsid w:val="00F867F9"/>
    <w:rsid w:val="00F868F6"/>
    <w:rsid w:val="00F86A61"/>
    <w:rsid w:val="00F86C52"/>
    <w:rsid w:val="00F87007"/>
    <w:rsid w:val="00F877A7"/>
    <w:rsid w:val="00F87F0B"/>
    <w:rsid w:val="00F900C7"/>
    <w:rsid w:val="00F902EA"/>
    <w:rsid w:val="00F9054B"/>
    <w:rsid w:val="00F90B7F"/>
    <w:rsid w:val="00F91EDE"/>
    <w:rsid w:val="00F9258C"/>
    <w:rsid w:val="00F925BF"/>
    <w:rsid w:val="00F92885"/>
    <w:rsid w:val="00F93143"/>
    <w:rsid w:val="00F934C1"/>
    <w:rsid w:val="00F934EF"/>
    <w:rsid w:val="00F9352F"/>
    <w:rsid w:val="00F9375F"/>
    <w:rsid w:val="00F93C3A"/>
    <w:rsid w:val="00F93F0E"/>
    <w:rsid w:val="00F9421B"/>
    <w:rsid w:val="00F94241"/>
    <w:rsid w:val="00F942CF"/>
    <w:rsid w:val="00F94327"/>
    <w:rsid w:val="00F94962"/>
    <w:rsid w:val="00F94BB0"/>
    <w:rsid w:val="00F95037"/>
    <w:rsid w:val="00F950D4"/>
    <w:rsid w:val="00F95263"/>
    <w:rsid w:val="00F957A5"/>
    <w:rsid w:val="00F957D7"/>
    <w:rsid w:val="00F95ADF"/>
    <w:rsid w:val="00F95B79"/>
    <w:rsid w:val="00F95E87"/>
    <w:rsid w:val="00F95F7D"/>
    <w:rsid w:val="00F95FFE"/>
    <w:rsid w:val="00F96051"/>
    <w:rsid w:val="00F96075"/>
    <w:rsid w:val="00F9639F"/>
    <w:rsid w:val="00F963B4"/>
    <w:rsid w:val="00F966FC"/>
    <w:rsid w:val="00F9694F"/>
    <w:rsid w:val="00F96D48"/>
    <w:rsid w:val="00F96EDE"/>
    <w:rsid w:val="00F973F0"/>
    <w:rsid w:val="00F974D2"/>
    <w:rsid w:val="00F9752E"/>
    <w:rsid w:val="00F97656"/>
    <w:rsid w:val="00F97708"/>
    <w:rsid w:val="00F9793A"/>
    <w:rsid w:val="00F97C5A"/>
    <w:rsid w:val="00F97F02"/>
    <w:rsid w:val="00F97F5C"/>
    <w:rsid w:val="00FA00E5"/>
    <w:rsid w:val="00FA068D"/>
    <w:rsid w:val="00FA06BB"/>
    <w:rsid w:val="00FA08BE"/>
    <w:rsid w:val="00FA0B83"/>
    <w:rsid w:val="00FA0ECA"/>
    <w:rsid w:val="00FA0F02"/>
    <w:rsid w:val="00FA0F0C"/>
    <w:rsid w:val="00FA11A6"/>
    <w:rsid w:val="00FA11D1"/>
    <w:rsid w:val="00FA12A0"/>
    <w:rsid w:val="00FA1400"/>
    <w:rsid w:val="00FA1531"/>
    <w:rsid w:val="00FA1BCF"/>
    <w:rsid w:val="00FA1BF0"/>
    <w:rsid w:val="00FA1D6D"/>
    <w:rsid w:val="00FA1D7B"/>
    <w:rsid w:val="00FA212D"/>
    <w:rsid w:val="00FA239E"/>
    <w:rsid w:val="00FA2ECF"/>
    <w:rsid w:val="00FA322F"/>
    <w:rsid w:val="00FA3354"/>
    <w:rsid w:val="00FA3A96"/>
    <w:rsid w:val="00FA3BCF"/>
    <w:rsid w:val="00FA3DC0"/>
    <w:rsid w:val="00FA3F80"/>
    <w:rsid w:val="00FA3F98"/>
    <w:rsid w:val="00FA40C1"/>
    <w:rsid w:val="00FA4148"/>
    <w:rsid w:val="00FA426B"/>
    <w:rsid w:val="00FA438B"/>
    <w:rsid w:val="00FA44D9"/>
    <w:rsid w:val="00FA456B"/>
    <w:rsid w:val="00FA45B6"/>
    <w:rsid w:val="00FA4CEA"/>
    <w:rsid w:val="00FA4E92"/>
    <w:rsid w:val="00FA5479"/>
    <w:rsid w:val="00FA5857"/>
    <w:rsid w:val="00FA5C8D"/>
    <w:rsid w:val="00FA5DDB"/>
    <w:rsid w:val="00FA5DFF"/>
    <w:rsid w:val="00FA5FA9"/>
    <w:rsid w:val="00FA5FEE"/>
    <w:rsid w:val="00FA6526"/>
    <w:rsid w:val="00FA65BD"/>
    <w:rsid w:val="00FA6962"/>
    <w:rsid w:val="00FA6C8F"/>
    <w:rsid w:val="00FA6E5F"/>
    <w:rsid w:val="00FA6F55"/>
    <w:rsid w:val="00FA72D0"/>
    <w:rsid w:val="00FA77EE"/>
    <w:rsid w:val="00FA786D"/>
    <w:rsid w:val="00FA7B30"/>
    <w:rsid w:val="00FA7D97"/>
    <w:rsid w:val="00FA7F93"/>
    <w:rsid w:val="00FA7FC6"/>
    <w:rsid w:val="00FB0061"/>
    <w:rsid w:val="00FB01A0"/>
    <w:rsid w:val="00FB0350"/>
    <w:rsid w:val="00FB03B4"/>
    <w:rsid w:val="00FB0572"/>
    <w:rsid w:val="00FB0792"/>
    <w:rsid w:val="00FB0A1F"/>
    <w:rsid w:val="00FB0A2D"/>
    <w:rsid w:val="00FB0C33"/>
    <w:rsid w:val="00FB0D7D"/>
    <w:rsid w:val="00FB16F1"/>
    <w:rsid w:val="00FB1D72"/>
    <w:rsid w:val="00FB223F"/>
    <w:rsid w:val="00FB238F"/>
    <w:rsid w:val="00FB2486"/>
    <w:rsid w:val="00FB25F4"/>
    <w:rsid w:val="00FB2625"/>
    <w:rsid w:val="00FB318A"/>
    <w:rsid w:val="00FB35DC"/>
    <w:rsid w:val="00FB3677"/>
    <w:rsid w:val="00FB3712"/>
    <w:rsid w:val="00FB3CC9"/>
    <w:rsid w:val="00FB3EC6"/>
    <w:rsid w:val="00FB41B9"/>
    <w:rsid w:val="00FB4494"/>
    <w:rsid w:val="00FB4649"/>
    <w:rsid w:val="00FB488C"/>
    <w:rsid w:val="00FB4911"/>
    <w:rsid w:val="00FB4960"/>
    <w:rsid w:val="00FB4F07"/>
    <w:rsid w:val="00FB5409"/>
    <w:rsid w:val="00FB564D"/>
    <w:rsid w:val="00FB5A9C"/>
    <w:rsid w:val="00FB5C67"/>
    <w:rsid w:val="00FB5E5E"/>
    <w:rsid w:val="00FB5F91"/>
    <w:rsid w:val="00FB65EF"/>
    <w:rsid w:val="00FB660A"/>
    <w:rsid w:val="00FB6896"/>
    <w:rsid w:val="00FB68AE"/>
    <w:rsid w:val="00FB69D8"/>
    <w:rsid w:val="00FB6E1A"/>
    <w:rsid w:val="00FB6E3C"/>
    <w:rsid w:val="00FB7004"/>
    <w:rsid w:val="00FC093A"/>
    <w:rsid w:val="00FC09A4"/>
    <w:rsid w:val="00FC0CC6"/>
    <w:rsid w:val="00FC0E3C"/>
    <w:rsid w:val="00FC111C"/>
    <w:rsid w:val="00FC1176"/>
    <w:rsid w:val="00FC1244"/>
    <w:rsid w:val="00FC182C"/>
    <w:rsid w:val="00FC1C8D"/>
    <w:rsid w:val="00FC1E86"/>
    <w:rsid w:val="00FC1EC1"/>
    <w:rsid w:val="00FC20B3"/>
    <w:rsid w:val="00FC20B7"/>
    <w:rsid w:val="00FC211B"/>
    <w:rsid w:val="00FC2150"/>
    <w:rsid w:val="00FC24DA"/>
    <w:rsid w:val="00FC2664"/>
    <w:rsid w:val="00FC2C16"/>
    <w:rsid w:val="00FC2DF2"/>
    <w:rsid w:val="00FC2F4D"/>
    <w:rsid w:val="00FC3184"/>
    <w:rsid w:val="00FC3200"/>
    <w:rsid w:val="00FC39B8"/>
    <w:rsid w:val="00FC3B01"/>
    <w:rsid w:val="00FC465E"/>
    <w:rsid w:val="00FC46CB"/>
    <w:rsid w:val="00FC487E"/>
    <w:rsid w:val="00FC48D9"/>
    <w:rsid w:val="00FC4CC6"/>
    <w:rsid w:val="00FC53F8"/>
    <w:rsid w:val="00FC59CE"/>
    <w:rsid w:val="00FC5ADD"/>
    <w:rsid w:val="00FC5BD1"/>
    <w:rsid w:val="00FC6047"/>
    <w:rsid w:val="00FC629F"/>
    <w:rsid w:val="00FC64F7"/>
    <w:rsid w:val="00FC6590"/>
    <w:rsid w:val="00FC6B0B"/>
    <w:rsid w:val="00FC6CB3"/>
    <w:rsid w:val="00FC6E5A"/>
    <w:rsid w:val="00FC6FC8"/>
    <w:rsid w:val="00FC7056"/>
    <w:rsid w:val="00FC7316"/>
    <w:rsid w:val="00FC7654"/>
    <w:rsid w:val="00FC768C"/>
    <w:rsid w:val="00FC785D"/>
    <w:rsid w:val="00FC78DE"/>
    <w:rsid w:val="00FC7CD4"/>
    <w:rsid w:val="00FD0281"/>
    <w:rsid w:val="00FD0359"/>
    <w:rsid w:val="00FD036E"/>
    <w:rsid w:val="00FD0543"/>
    <w:rsid w:val="00FD05E3"/>
    <w:rsid w:val="00FD0B69"/>
    <w:rsid w:val="00FD11DD"/>
    <w:rsid w:val="00FD168E"/>
    <w:rsid w:val="00FD17D0"/>
    <w:rsid w:val="00FD1D96"/>
    <w:rsid w:val="00FD2383"/>
    <w:rsid w:val="00FD2813"/>
    <w:rsid w:val="00FD2CB6"/>
    <w:rsid w:val="00FD3341"/>
    <w:rsid w:val="00FD34CC"/>
    <w:rsid w:val="00FD356B"/>
    <w:rsid w:val="00FD3763"/>
    <w:rsid w:val="00FD398B"/>
    <w:rsid w:val="00FD3BE4"/>
    <w:rsid w:val="00FD3E5C"/>
    <w:rsid w:val="00FD411F"/>
    <w:rsid w:val="00FD4EE0"/>
    <w:rsid w:val="00FD4F37"/>
    <w:rsid w:val="00FD5031"/>
    <w:rsid w:val="00FD508E"/>
    <w:rsid w:val="00FD54C2"/>
    <w:rsid w:val="00FD60E1"/>
    <w:rsid w:val="00FD6738"/>
    <w:rsid w:val="00FD6A4F"/>
    <w:rsid w:val="00FD6BCB"/>
    <w:rsid w:val="00FD71C4"/>
    <w:rsid w:val="00FD71F5"/>
    <w:rsid w:val="00FD72DF"/>
    <w:rsid w:val="00FD73E7"/>
    <w:rsid w:val="00FD76F4"/>
    <w:rsid w:val="00FD77A8"/>
    <w:rsid w:val="00FD77CD"/>
    <w:rsid w:val="00FD7A93"/>
    <w:rsid w:val="00FD7BB9"/>
    <w:rsid w:val="00FD7EA0"/>
    <w:rsid w:val="00FE0090"/>
    <w:rsid w:val="00FE02A2"/>
    <w:rsid w:val="00FE02D1"/>
    <w:rsid w:val="00FE07F6"/>
    <w:rsid w:val="00FE0DB8"/>
    <w:rsid w:val="00FE138A"/>
    <w:rsid w:val="00FE1712"/>
    <w:rsid w:val="00FE178A"/>
    <w:rsid w:val="00FE18B2"/>
    <w:rsid w:val="00FE1BFB"/>
    <w:rsid w:val="00FE204F"/>
    <w:rsid w:val="00FE2239"/>
    <w:rsid w:val="00FE2289"/>
    <w:rsid w:val="00FE252B"/>
    <w:rsid w:val="00FE2572"/>
    <w:rsid w:val="00FE259E"/>
    <w:rsid w:val="00FE2959"/>
    <w:rsid w:val="00FE2D54"/>
    <w:rsid w:val="00FE33E4"/>
    <w:rsid w:val="00FE3B5F"/>
    <w:rsid w:val="00FE3E17"/>
    <w:rsid w:val="00FE41BC"/>
    <w:rsid w:val="00FE41F9"/>
    <w:rsid w:val="00FE4248"/>
    <w:rsid w:val="00FE43DD"/>
    <w:rsid w:val="00FE46C2"/>
    <w:rsid w:val="00FE4836"/>
    <w:rsid w:val="00FE4C97"/>
    <w:rsid w:val="00FE4D1F"/>
    <w:rsid w:val="00FE4E1B"/>
    <w:rsid w:val="00FE57C9"/>
    <w:rsid w:val="00FE5911"/>
    <w:rsid w:val="00FE5B10"/>
    <w:rsid w:val="00FE5C7F"/>
    <w:rsid w:val="00FE5CAA"/>
    <w:rsid w:val="00FE5F08"/>
    <w:rsid w:val="00FE62A5"/>
    <w:rsid w:val="00FE64A5"/>
    <w:rsid w:val="00FE6DF5"/>
    <w:rsid w:val="00FE6E9B"/>
    <w:rsid w:val="00FE6FC5"/>
    <w:rsid w:val="00FE78DB"/>
    <w:rsid w:val="00FE7C3F"/>
    <w:rsid w:val="00FE7FD8"/>
    <w:rsid w:val="00FF0376"/>
    <w:rsid w:val="00FF0974"/>
    <w:rsid w:val="00FF0B0C"/>
    <w:rsid w:val="00FF0BC5"/>
    <w:rsid w:val="00FF0D00"/>
    <w:rsid w:val="00FF0DE4"/>
    <w:rsid w:val="00FF193D"/>
    <w:rsid w:val="00FF1975"/>
    <w:rsid w:val="00FF1B0C"/>
    <w:rsid w:val="00FF1F67"/>
    <w:rsid w:val="00FF20F5"/>
    <w:rsid w:val="00FF23E1"/>
    <w:rsid w:val="00FF24BA"/>
    <w:rsid w:val="00FF2525"/>
    <w:rsid w:val="00FF26E0"/>
    <w:rsid w:val="00FF2768"/>
    <w:rsid w:val="00FF2908"/>
    <w:rsid w:val="00FF2933"/>
    <w:rsid w:val="00FF2939"/>
    <w:rsid w:val="00FF2DF7"/>
    <w:rsid w:val="00FF307B"/>
    <w:rsid w:val="00FF32FF"/>
    <w:rsid w:val="00FF330B"/>
    <w:rsid w:val="00FF42A2"/>
    <w:rsid w:val="00FF4B4C"/>
    <w:rsid w:val="00FF4C5A"/>
    <w:rsid w:val="00FF4F41"/>
    <w:rsid w:val="00FF55B6"/>
    <w:rsid w:val="00FF57A6"/>
    <w:rsid w:val="00FF5B03"/>
    <w:rsid w:val="00FF5CB7"/>
    <w:rsid w:val="00FF5EBA"/>
    <w:rsid w:val="00FF621B"/>
    <w:rsid w:val="00FF66AB"/>
    <w:rsid w:val="00FF6B57"/>
    <w:rsid w:val="00FF6BC7"/>
    <w:rsid w:val="00FF6CAD"/>
    <w:rsid w:val="00FF7297"/>
    <w:rsid w:val="00FF76A4"/>
    <w:rsid w:val="00FF7AF0"/>
    <w:rsid w:val="00FF7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F6B"/>
    <w:rPr>
      <w:sz w:val="24"/>
      <w:szCs w:val="24"/>
      <w:lang w:eastAsia="ko-KR"/>
    </w:rPr>
  </w:style>
  <w:style w:type="paragraph" w:styleId="Heading1">
    <w:name w:val="heading 1"/>
    <w:basedOn w:val="Normal"/>
    <w:next w:val="Normal"/>
    <w:qFormat/>
    <w:rsid w:val="00257094"/>
    <w:pPr>
      <w:keepNext/>
      <w:spacing w:before="240" w:after="60"/>
      <w:outlineLvl w:val="0"/>
    </w:pPr>
    <w:rPr>
      <w:rFonts w:ascii="Arial" w:hAnsi="Arial" w:cs="Arial"/>
      <w:b/>
      <w:bCs/>
      <w:kern w:val="32"/>
      <w:sz w:val="32"/>
      <w:szCs w:val="32"/>
    </w:rPr>
  </w:style>
  <w:style w:type="paragraph" w:styleId="Heading2">
    <w:name w:val="heading 2"/>
    <w:basedOn w:val="Normal"/>
    <w:qFormat/>
    <w:rsid w:val="006B255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2558"/>
    <w:pPr>
      <w:spacing w:before="100" w:beforeAutospacing="1" w:after="100" w:afterAutospacing="1"/>
    </w:pPr>
  </w:style>
  <w:style w:type="character" w:styleId="Hyperlink">
    <w:name w:val="Hyperlink"/>
    <w:basedOn w:val="DefaultParagraphFont"/>
    <w:rsid w:val="006B2558"/>
    <w:rPr>
      <w:color w:val="0000FF"/>
      <w:u w:val="single"/>
    </w:rPr>
  </w:style>
  <w:style w:type="character" w:customStyle="1" w:styleId="toctoggle">
    <w:name w:val="toctoggle"/>
    <w:basedOn w:val="DefaultParagraphFont"/>
    <w:rsid w:val="006B2558"/>
  </w:style>
  <w:style w:type="character" w:customStyle="1" w:styleId="tocnumber">
    <w:name w:val="tocnumber"/>
    <w:basedOn w:val="DefaultParagraphFont"/>
    <w:rsid w:val="006B2558"/>
  </w:style>
  <w:style w:type="character" w:customStyle="1" w:styleId="toctext">
    <w:name w:val="toctext"/>
    <w:basedOn w:val="DefaultParagraphFont"/>
    <w:rsid w:val="006B2558"/>
  </w:style>
  <w:style w:type="character" w:customStyle="1" w:styleId="editsection">
    <w:name w:val="editsection"/>
    <w:basedOn w:val="DefaultParagraphFont"/>
    <w:rsid w:val="006B2558"/>
  </w:style>
  <w:style w:type="character" w:customStyle="1" w:styleId="mw-headline">
    <w:name w:val="mw-headline"/>
    <w:basedOn w:val="DefaultParagraphFont"/>
    <w:rsid w:val="006B2558"/>
  </w:style>
  <w:style w:type="paragraph" w:styleId="BodyTextIndent">
    <w:name w:val="Body Text Indent"/>
    <w:basedOn w:val="Normal"/>
    <w:rsid w:val="002F1158"/>
    <w:pPr>
      <w:autoSpaceDE w:val="0"/>
      <w:autoSpaceDN w:val="0"/>
      <w:adjustRightInd w:val="0"/>
      <w:spacing w:line="480" w:lineRule="auto"/>
      <w:ind w:firstLine="720"/>
    </w:pPr>
    <w:rPr>
      <w:rFonts w:eastAsia="Times New Roman"/>
      <w:lang w:eastAsia="en-US"/>
    </w:rPr>
  </w:style>
  <w:style w:type="paragraph" w:styleId="FootnoteText">
    <w:name w:val="footnote text"/>
    <w:basedOn w:val="Normal"/>
    <w:semiHidden/>
    <w:rsid w:val="00F17C68"/>
    <w:rPr>
      <w:sz w:val="20"/>
      <w:szCs w:val="20"/>
    </w:rPr>
  </w:style>
  <w:style w:type="character" w:styleId="FootnoteReference">
    <w:name w:val="footnote reference"/>
    <w:basedOn w:val="DefaultParagraphFont"/>
    <w:semiHidden/>
    <w:rsid w:val="00F17C68"/>
    <w:rPr>
      <w:vertAlign w:val="superscript"/>
    </w:rPr>
  </w:style>
  <w:style w:type="paragraph" w:customStyle="1" w:styleId="Default">
    <w:name w:val="Default"/>
    <w:rsid w:val="00BF16BF"/>
    <w:pPr>
      <w:autoSpaceDE w:val="0"/>
      <w:autoSpaceDN w:val="0"/>
      <w:adjustRightInd w:val="0"/>
    </w:pPr>
    <w:rPr>
      <w:rFonts w:ascii="KEDJH O+ Helvetica" w:hAnsi="KEDJH O+ Helvetica" w:cs="KEDJH O+ Helvetica"/>
      <w:color w:val="000000"/>
      <w:sz w:val="24"/>
      <w:szCs w:val="24"/>
      <w:lang w:eastAsia="ko-KR"/>
    </w:rPr>
  </w:style>
  <w:style w:type="paragraph" w:customStyle="1" w:styleId="MAINTITLE">
    <w:name w:val="MAIN TITLE"/>
    <w:basedOn w:val="Default"/>
    <w:next w:val="Default"/>
    <w:rsid w:val="00BF16BF"/>
    <w:pPr>
      <w:spacing w:before="240"/>
    </w:pPr>
    <w:rPr>
      <w:rFonts w:cs="Times New Roman"/>
      <w:color w:val="auto"/>
    </w:rPr>
  </w:style>
  <w:style w:type="paragraph" w:styleId="Footer">
    <w:name w:val="footer"/>
    <w:basedOn w:val="Normal"/>
    <w:rsid w:val="00D17D20"/>
    <w:pPr>
      <w:tabs>
        <w:tab w:val="center" w:pos="4320"/>
        <w:tab w:val="right" w:pos="8640"/>
      </w:tabs>
    </w:pPr>
  </w:style>
  <w:style w:type="character" w:styleId="PageNumber">
    <w:name w:val="page number"/>
    <w:basedOn w:val="DefaultParagraphFont"/>
    <w:rsid w:val="00D17D20"/>
  </w:style>
  <w:style w:type="paragraph" w:styleId="DocumentMap">
    <w:name w:val="Document Map"/>
    <w:basedOn w:val="Normal"/>
    <w:semiHidden/>
    <w:rsid w:val="006C1527"/>
    <w:pPr>
      <w:shd w:val="clear" w:color="auto" w:fill="000080"/>
    </w:pPr>
    <w:rPr>
      <w:rFonts w:ascii="Tahoma" w:hAnsi="Tahoma" w:cs="Tahoma"/>
      <w:sz w:val="20"/>
      <w:szCs w:val="20"/>
    </w:rPr>
  </w:style>
  <w:style w:type="paragraph" w:styleId="BalloonText">
    <w:name w:val="Balloon Text"/>
    <w:basedOn w:val="Normal"/>
    <w:semiHidden/>
    <w:rsid w:val="006C1527"/>
    <w:rPr>
      <w:rFonts w:ascii="Tahoma" w:hAnsi="Tahoma" w:cs="Tahoma"/>
      <w:sz w:val="16"/>
      <w:szCs w:val="16"/>
    </w:rPr>
  </w:style>
  <w:style w:type="table" w:styleId="TableGrid">
    <w:name w:val="Table Grid"/>
    <w:basedOn w:val="TableNormal"/>
    <w:rsid w:val="00E46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BF2990"/>
  </w:style>
  <w:style w:type="character" w:styleId="CommentReference">
    <w:name w:val="annotation reference"/>
    <w:basedOn w:val="DefaultParagraphFont"/>
    <w:rsid w:val="006276B8"/>
    <w:rPr>
      <w:sz w:val="16"/>
      <w:szCs w:val="16"/>
    </w:rPr>
  </w:style>
  <w:style w:type="paragraph" w:styleId="CommentText">
    <w:name w:val="annotation text"/>
    <w:basedOn w:val="Normal"/>
    <w:link w:val="CommentTextChar"/>
    <w:rsid w:val="006276B8"/>
    <w:rPr>
      <w:sz w:val="20"/>
      <w:szCs w:val="20"/>
    </w:rPr>
  </w:style>
  <w:style w:type="character" w:customStyle="1" w:styleId="CommentTextChar">
    <w:name w:val="Comment Text Char"/>
    <w:basedOn w:val="DefaultParagraphFont"/>
    <w:link w:val="CommentText"/>
    <w:rsid w:val="006276B8"/>
    <w:rPr>
      <w:lang w:eastAsia="ko-KR"/>
    </w:rPr>
  </w:style>
  <w:style w:type="paragraph" w:styleId="CommentSubject">
    <w:name w:val="annotation subject"/>
    <w:basedOn w:val="CommentText"/>
    <w:next w:val="CommentText"/>
    <w:link w:val="CommentSubjectChar"/>
    <w:rsid w:val="006276B8"/>
    <w:rPr>
      <w:b/>
      <w:bCs/>
    </w:rPr>
  </w:style>
  <w:style w:type="character" w:customStyle="1" w:styleId="CommentSubjectChar">
    <w:name w:val="Comment Subject Char"/>
    <w:basedOn w:val="CommentTextChar"/>
    <w:link w:val="CommentSubject"/>
    <w:rsid w:val="006276B8"/>
    <w:rPr>
      <w:b/>
      <w:bCs/>
    </w:rPr>
  </w:style>
  <w:style w:type="character" w:customStyle="1" w:styleId="EmailStyle381">
    <w:name w:val="EmailStyle38"/>
    <w:aliases w:val="EmailStyle38"/>
    <w:basedOn w:val="DefaultParagraphFont"/>
    <w:semiHidden/>
    <w:personal/>
    <w:personalCompose/>
    <w:rsid w:val="00A500E7"/>
    <w:rPr>
      <w:rFonts w:ascii="Arial" w:hAnsi="Arial" w:cs="Arial"/>
      <w:color w:val="auto"/>
      <w:sz w:val="20"/>
      <w:szCs w:val="20"/>
    </w:rPr>
  </w:style>
  <w:style w:type="paragraph" w:customStyle="1" w:styleId="msolistparagraph0">
    <w:name w:val="msolistparagraph"/>
    <w:basedOn w:val="Normal"/>
    <w:rsid w:val="00BB0516"/>
    <w:pPr>
      <w:ind w:left="720"/>
    </w:pPr>
  </w:style>
</w:styles>
</file>

<file path=word/webSettings.xml><?xml version="1.0" encoding="utf-8"?>
<w:webSettings xmlns:r="http://schemas.openxmlformats.org/officeDocument/2006/relationships" xmlns:w="http://schemas.openxmlformats.org/wordprocessingml/2006/main">
  <w:divs>
    <w:div w:id="131869294">
      <w:bodyDiv w:val="1"/>
      <w:marLeft w:val="0"/>
      <w:marRight w:val="0"/>
      <w:marTop w:val="0"/>
      <w:marBottom w:val="0"/>
      <w:divBdr>
        <w:top w:val="none" w:sz="0" w:space="0" w:color="auto"/>
        <w:left w:val="none" w:sz="0" w:space="0" w:color="auto"/>
        <w:bottom w:val="none" w:sz="0" w:space="0" w:color="auto"/>
        <w:right w:val="none" w:sz="0" w:space="0" w:color="auto"/>
      </w:divBdr>
    </w:div>
    <w:div w:id="368841068">
      <w:bodyDiv w:val="1"/>
      <w:marLeft w:val="0"/>
      <w:marRight w:val="0"/>
      <w:marTop w:val="0"/>
      <w:marBottom w:val="0"/>
      <w:divBdr>
        <w:top w:val="none" w:sz="0" w:space="0" w:color="auto"/>
        <w:left w:val="none" w:sz="0" w:space="0" w:color="auto"/>
        <w:bottom w:val="none" w:sz="0" w:space="0" w:color="auto"/>
        <w:right w:val="none" w:sz="0" w:space="0" w:color="auto"/>
      </w:divBdr>
    </w:div>
    <w:div w:id="413748857">
      <w:bodyDiv w:val="1"/>
      <w:marLeft w:val="0"/>
      <w:marRight w:val="0"/>
      <w:marTop w:val="0"/>
      <w:marBottom w:val="0"/>
      <w:divBdr>
        <w:top w:val="none" w:sz="0" w:space="0" w:color="auto"/>
        <w:left w:val="none" w:sz="0" w:space="0" w:color="auto"/>
        <w:bottom w:val="none" w:sz="0" w:space="0" w:color="auto"/>
        <w:right w:val="none" w:sz="0" w:space="0" w:color="auto"/>
      </w:divBdr>
    </w:div>
    <w:div w:id="536700346">
      <w:bodyDiv w:val="1"/>
      <w:marLeft w:val="0"/>
      <w:marRight w:val="0"/>
      <w:marTop w:val="0"/>
      <w:marBottom w:val="0"/>
      <w:divBdr>
        <w:top w:val="none" w:sz="0" w:space="0" w:color="auto"/>
        <w:left w:val="none" w:sz="0" w:space="0" w:color="auto"/>
        <w:bottom w:val="none" w:sz="0" w:space="0" w:color="auto"/>
        <w:right w:val="none" w:sz="0" w:space="0" w:color="auto"/>
      </w:divBdr>
    </w:div>
    <w:div w:id="647326187">
      <w:bodyDiv w:val="1"/>
      <w:marLeft w:val="0"/>
      <w:marRight w:val="0"/>
      <w:marTop w:val="0"/>
      <w:marBottom w:val="0"/>
      <w:divBdr>
        <w:top w:val="none" w:sz="0" w:space="0" w:color="auto"/>
        <w:left w:val="none" w:sz="0" w:space="0" w:color="auto"/>
        <w:bottom w:val="none" w:sz="0" w:space="0" w:color="auto"/>
        <w:right w:val="none" w:sz="0" w:space="0" w:color="auto"/>
      </w:divBdr>
    </w:div>
    <w:div w:id="880358891">
      <w:bodyDiv w:val="1"/>
      <w:marLeft w:val="0"/>
      <w:marRight w:val="0"/>
      <w:marTop w:val="0"/>
      <w:marBottom w:val="0"/>
      <w:divBdr>
        <w:top w:val="none" w:sz="0" w:space="0" w:color="auto"/>
        <w:left w:val="none" w:sz="0" w:space="0" w:color="auto"/>
        <w:bottom w:val="none" w:sz="0" w:space="0" w:color="auto"/>
        <w:right w:val="none" w:sz="0" w:space="0" w:color="auto"/>
      </w:divBdr>
      <w:divsChild>
        <w:div w:id="47145318">
          <w:marLeft w:val="0"/>
          <w:marRight w:val="0"/>
          <w:marTop w:val="0"/>
          <w:marBottom w:val="0"/>
          <w:divBdr>
            <w:top w:val="none" w:sz="0" w:space="0" w:color="auto"/>
            <w:left w:val="none" w:sz="0" w:space="0" w:color="auto"/>
            <w:bottom w:val="none" w:sz="0" w:space="0" w:color="auto"/>
            <w:right w:val="none" w:sz="0" w:space="0" w:color="auto"/>
          </w:divBdr>
          <w:divsChild>
            <w:div w:id="116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638">
      <w:bodyDiv w:val="1"/>
      <w:marLeft w:val="0"/>
      <w:marRight w:val="0"/>
      <w:marTop w:val="0"/>
      <w:marBottom w:val="0"/>
      <w:divBdr>
        <w:top w:val="none" w:sz="0" w:space="0" w:color="auto"/>
        <w:left w:val="none" w:sz="0" w:space="0" w:color="auto"/>
        <w:bottom w:val="none" w:sz="0" w:space="0" w:color="auto"/>
        <w:right w:val="none" w:sz="0" w:space="0" w:color="auto"/>
      </w:divBdr>
    </w:div>
    <w:div w:id="1056201466">
      <w:bodyDiv w:val="1"/>
      <w:marLeft w:val="0"/>
      <w:marRight w:val="0"/>
      <w:marTop w:val="0"/>
      <w:marBottom w:val="0"/>
      <w:divBdr>
        <w:top w:val="none" w:sz="0" w:space="0" w:color="auto"/>
        <w:left w:val="none" w:sz="0" w:space="0" w:color="auto"/>
        <w:bottom w:val="none" w:sz="0" w:space="0" w:color="auto"/>
        <w:right w:val="none" w:sz="0" w:space="0" w:color="auto"/>
      </w:divBdr>
    </w:div>
    <w:div w:id="1066606693">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sChild>
        <w:div w:id="555896638">
          <w:marLeft w:val="0"/>
          <w:marRight w:val="0"/>
          <w:marTop w:val="0"/>
          <w:marBottom w:val="0"/>
          <w:divBdr>
            <w:top w:val="none" w:sz="0" w:space="0" w:color="auto"/>
            <w:left w:val="none" w:sz="0" w:space="0" w:color="auto"/>
            <w:bottom w:val="none" w:sz="0" w:space="0" w:color="auto"/>
            <w:right w:val="none" w:sz="0" w:space="0" w:color="auto"/>
          </w:divBdr>
        </w:div>
      </w:divsChild>
    </w:div>
    <w:div w:id="1585605142">
      <w:bodyDiv w:val="1"/>
      <w:marLeft w:val="0"/>
      <w:marRight w:val="0"/>
      <w:marTop w:val="0"/>
      <w:marBottom w:val="0"/>
      <w:divBdr>
        <w:top w:val="none" w:sz="0" w:space="0" w:color="auto"/>
        <w:left w:val="none" w:sz="0" w:space="0" w:color="auto"/>
        <w:bottom w:val="none" w:sz="0" w:space="0" w:color="auto"/>
        <w:right w:val="none" w:sz="0" w:space="0" w:color="auto"/>
      </w:divBdr>
    </w:div>
    <w:div w:id="1666128168">
      <w:bodyDiv w:val="1"/>
      <w:marLeft w:val="0"/>
      <w:marRight w:val="0"/>
      <w:marTop w:val="0"/>
      <w:marBottom w:val="0"/>
      <w:divBdr>
        <w:top w:val="none" w:sz="0" w:space="0" w:color="auto"/>
        <w:left w:val="none" w:sz="0" w:space="0" w:color="auto"/>
        <w:bottom w:val="none" w:sz="0" w:space="0" w:color="auto"/>
        <w:right w:val="none" w:sz="0" w:space="0" w:color="auto"/>
      </w:divBdr>
    </w:div>
    <w:div w:id="1950820390">
      <w:bodyDiv w:val="1"/>
      <w:marLeft w:val="0"/>
      <w:marRight w:val="0"/>
      <w:marTop w:val="0"/>
      <w:marBottom w:val="0"/>
      <w:divBdr>
        <w:top w:val="none" w:sz="0" w:space="0" w:color="auto"/>
        <w:left w:val="none" w:sz="0" w:space="0" w:color="auto"/>
        <w:bottom w:val="none" w:sz="0" w:space="0" w:color="auto"/>
        <w:right w:val="none" w:sz="0" w:space="0" w:color="auto"/>
      </w:divBdr>
    </w:div>
    <w:div w:id="1961256736">
      <w:bodyDiv w:val="1"/>
      <w:marLeft w:val="0"/>
      <w:marRight w:val="0"/>
      <w:marTop w:val="0"/>
      <w:marBottom w:val="0"/>
      <w:divBdr>
        <w:top w:val="none" w:sz="0" w:space="0" w:color="auto"/>
        <w:left w:val="none" w:sz="0" w:space="0" w:color="auto"/>
        <w:bottom w:val="none" w:sz="0" w:space="0" w:color="auto"/>
        <w:right w:val="none" w:sz="0" w:space="0" w:color="auto"/>
      </w:divBdr>
    </w:div>
    <w:div w:id="1976521324">
      <w:bodyDiv w:val="1"/>
      <w:marLeft w:val="0"/>
      <w:marRight w:val="0"/>
      <w:marTop w:val="0"/>
      <w:marBottom w:val="0"/>
      <w:divBdr>
        <w:top w:val="none" w:sz="0" w:space="0" w:color="auto"/>
        <w:left w:val="none" w:sz="0" w:space="0" w:color="auto"/>
        <w:bottom w:val="none" w:sz="0" w:space="0" w:color="auto"/>
        <w:right w:val="none" w:sz="0" w:space="0" w:color="auto"/>
      </w:divBdr>
    </w:div>
    <w:div w:id="21124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a.com/NR/rdonlyres/DC65CE12-B1C7-11D4-AB4A-00508B95258D/42729/FairvalueoptionApril2006.pdf"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isistalk.worldbank.org/files/banking%20and%20the%20leverage%20ratio.pdf" TargetMode="External"/><Relationship Id="rId4" Type="http://schemas.openxmlformats.org/officeDocument/2006/relationships/settings" Target="settings.xml"/><Relationship Id="rId9" Type="http://schemas.openxmlformats.org/officeDocument/2006/relationships/hyperlink" Target="http://www.financialstability.gov/docs/regs/FinalReport_we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0E19-4BCE-42E0-9C66-D0FC76FE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5244</Words>
  <Characters>29399</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Bank Leverage and Credit Risk: What do fair values tell us</vt:lpstr>
    </vt:vector>
  </TitlesOfParts>
  <Company>Eli Broad College of Business</Company>
  <LinksUpToDate>false</LinksUpToDate>
  <CharactersWithSpaces>34574</CharactersWithSpaces>
  <SharedDoc>false</SharedDoc>
  <HLinks>
    <vt:vector size="18" baseType="variant">
      <vt:variant>
        <vt:i4>1572880</vt:i4>
      </vt:variant>
      <vt:variant>
        <vt:i4>6</vt:i4>
      </vt:variant>
      <vt:variant>
        <vt:i4>0</vt:i4>
      </vt:variant>
      <vt:variant>
        <vt:i4>5</vt:i4>
      </vt:variant>
      <vt:variant>
        <vt:lpwstr>http://crisistalk.worldbank.org/files/banking and the leverage ratio.pdf</vt:lpwstr>
      </vt:variant>
      <vt:variant>
        <vt:lpwstr/>
      </vt:variant>
      <vt:variant>
        <vt:i4>393313</vt:i4>
      </vt:variant>
      <vt:variant>
        <vt:i4>3</vt:i4>
      </vt:variant>
      <vt:variant>
        <vt:i4>0</vt:i4>
      </vt:variant>
      <vt:variant>
        <vt:i4>5</vt:i4>
      </vt:variant>
      <vt:variant>
        <vt:lpwstr>http://www.financialstability.gov/docs/regs/FinalReport_web.pdf</vt:lpwstr>
      </vt:variant>
      <vt:variant>
        <vt:lpwstr/>
      </vt:variant>
      <vt:variant>
        <vt:i4>6750330</vt:i4>
      </vt:variant>
      <vt:variant>
        <vt:i4>0</vt:i4>
      </vt:variant>
      <vt:variant>
        <vt:i4>0</vt:i4>
      </vt:variant>
      <vt:variant>
        <vt:i4>5</vt:i4>
      </vt:variant>
      <vt:variant>
        <vt:lpwstr>http://www.aba.com/NR/rdonlyres/DC65CE12-B1C7-11D4-AB4A-00508B95258D/42729/FairvalueoptionApril2006.pdf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Leverage and Credit Risk: What do fair values tell us</dc:title>
  <dc:subject/>
  <dc:creator>petroni</dc:creator>
  <cp:keywords/>
  <dc:description/>
  <cp:lastModifiedBy>Administrator</cp:lastModifiedBy>
  <cp:revision>2</cp:revision>
  <cp:lastPrinted>2009-10-05T13:08:00Z</cp:lastPrinted>
  <dcterms:created xsi:type="dcterms:W3CDTF">2009-10-05T13:10:00Z</dcterms:created>
  <dcterms:modified xsi:type="dcterms:W3CDTF">2009-10-05T13:10:00Z</dcterms:modified>
</cp:coreProperties>
</file>